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505715"/>
    <w:p w14:paraId="1A41145D" w14:textId="77777777" w:rsidR="00A75257" w:rsidRPr="004E151F" w:rsidRDefault="00A75257" w:rsidP="00A75257">
      <w:pPr>
        <w:tabs>
          <w:tab w:val="left" w:leader="underscore" w:pos="9639"/>
        </w:tabs>
        <w:jc w:val="center"/>
        <w:rPr>
          <w:rFonts w:ascii="Arial" w:hAnsi="Arial" w:cs="Arial"/>
          <w:b/>
          <w:sz w:val="20"/>
          <w:szCs w:val="20"/>
        </w:rPr>
      </w:pPr>
      <w:r w:rsidRPr="00FA379D">
        <w:rPr>
          <w:rStyle w:val="Hipervnculo"/>
          <w:rFonts w:ascii="Arial" w:hAnsi="Arial" w:cs="Arial"/>
          <w:b/>
        </w:rPr>
        <w:fldChar w:fldCharType="begin"/>
      </w:r>
      <w:r>
        <w:rPr>
          <w:rStyle w:val="Hipervnculo"/>
          <w:rFonts w:ascii="Arial" w:hAnsi="Arial" w:cs="Arial"/>
          <w:b/>
        </w:rPr>
        <w:instrText>HYPERLINK "E:\\acorona\\lquiroz\\AppData\\Local\\Microsoft\\Windows\\Temporary Internet Files\\Content.Outlook\\HBGSO9P3\\MODELO CTA 2013.pptx"</w:instrText>
      </w:r>
      <w:r w:rsidRPr="00FA379D">
        <w:rPr>
          <w:rStyle w:val="Hipervnculo"/>
          <w:rFonts w:ascii="Arial" w:hAnsi="Arial" w:cs="Arial"/>
          <w:b/>
        </w:rPr>
      </w:r>
      <w:r w:rsidRPr="00FA379D">
        <w:rPr>
          <w:rStyle w:val="Hipervnculo"/>
          <w:rFonts w:ascii="Arial" w:hAnsi="Arial" w:cs="Arial"/>
          <w:b/>
        </w:rPr>
        <w:fldChar w:fldCharType="separate"/>
      </w:r>
      <w:r w:rsidRPr="00FA379D">
        <w:rPr>
          <w:rStyle w:val="Hipervnculo"/>
          <w:rFonts w:ascii="Arial" w:hAnsi="Arial" w:cs="Arial"/>
          <w:b/>
        </w:rPr>
        <w:t>NOTAS DE GESTIÓN ADMINISTRATIVA</w:t>
      </w:r>
      <w:r w:rsidRPr="00FA379D">
        <w:rPr>
          <w:rStyle w:val="Hipervnculo"/>
          <w:rFonts w:ascii="Arial" w:hAnsi="Arial" w:cs="Arial"/>
          <w:b/>
        </w:rPr>
        <w:fldChar w:fldCharType="end"/>
      </w:r>
    </w:p>
    <w:p w14:paraId="4DB705D5"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Los Estados Financieros de los entes públicos, proveen de información financiera a los principales usuarios de la misma, al Congreso y a los ciudadanos.</w:t>
      </w:r>
    </w:p>
    <w:p w14:paraId="01679240"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D625AD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144EAA4" w14:textId="77777777" w:rsidR="00A75257" w:rsidRPr="00FA379D" w:rsidRDefault="00A75257" w:rsidP="00A75257">
      <w:pPr>
        <w:pStyle w:val="Ttulo2"/>
        <w:jc w:val="both"/>
        <w:rPr>
          <w:rFonts w:ascii="Arial" w:hAnsi="Arial" w:cs="Arial"/>
          <w:b/>
          <w:color w:val="auto"/>
          <w:sz w:val="20"/>
          <w:szCs w:val="20"/>
        </w:rPr>
      </w:pPr>
      <w:bookmarkStart w:id="1" w:name="_Toc508279621"/>
      <w:r w:rsidRPr="00FA379D">
        <w:rPr>
          <w:rFonts w:ascii="Arial" w:hAnsi="Arial" w:cs="Arial"/>
          <w:b/>
          <w:color w:val="auto"/>
          <w:sz w:val="20"/>
          <w:szCs w:val="20"/>
        </w:rPr>
        <w:t>1. Introducción:</w:t>
      </w:r>
      <w:bookmarkEnd w:id="1"/>
    </w:p>
    <w:p w14:paraId="0BEA5B7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38C48FF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67D2FFF8" w14:textId="77777777" w:rsidR="00A75257" w:rsidRPr="004E151F" w:rsidRDefault="00A75257" w:rsidP="00A75257">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24B2AAC2" w14:textId="77777777" w:rsidR="00A75257" w:rsidRPr="00FA379D" w:rsidRDefault="00A75257" w:rsidP="00A75257">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754D89E6" w14:textId="77777777" w:rsidR="00A75257" w:rsidRPr="00FA379D" w:rsidRDefault="00A75257" w:rsidP="00A75257">
      <w:pPr>
        <w:tabs>
          <w:tab w:val="left" w:leader="underscore" w:pos="9639"/>
        </w:tabs>
        <w:jc w:val="both"/>
        <w:rPr>
          <w:rFonts w:ascii="Arial" w:hAnsi="Arial" w:cs="Arial"/>
          <w:i/>
          <w:iCs/>
          <w:sz w:val="20"/>
          <w:szCs w:val="20"/>
        </w:rPr>
      </w:pPr>
      <w:bookmarkStart w:id="2" w:name="_Hlk125633832"/>
      <w:bookmarkStart w:id="3" w:name="_Hlk125633945"/>
      <w:bookmarkStart w:id="4" w:name="_Hlk125633960"/>
      <w:bookmarkStart w:id="5" w:name="_Hlk125633849"/>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3AB029F3"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noProof/>
          <w:sz w:val="20"/>
          <w:szCs w:val="20"/>
        </w:rPr>
        <w:drawing>
          <wp:inline distT="0" distB="0" distL="0" distR="0" wp14:anchorId="2CEC2FD3" wp14:editId="7BF38651">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bookmarkStart w:id="6" w:name="_Toc508279622"/>
    </w:p>
    <w:p w14:paraId="1346309D"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bCs/>
          <w:sz w:val="20"/>
          <w:szCs w:val="20"/>
        </w:rPr>
        <w:t>Por lo tanto, al</w:t>
      </w:r>
      <w:r>
        <w:rPr>
          <w:rFonts w:ascii="Arial" w:hAnsi="Arial" w:cs="Arial"/>
          <w:bCs/>
          <w:sz w:val="20"/>
          <w:szCs w:val="20"/>
        </w:rPr>
        <w:t xml:space="preserve"> 4to</w:t>
      </w:r>
      <w:r w:rsidRPr="00FA379D">
        <w:rPr>
          <w:rFonts w:ascii="Arial" w:hAnsi="Arial" w:cs="Arial"/>
          <w:bCs/>
          <w:sz w:val="20"/>
          <w:szCs w:val="20"/>
        </w:rPr>
        <w:t>. trimestre 202</w:t>
      </w:r>
      <w:r>
        <w:rPr>
          <w:rFonts w:ascii="Arial" w:hAnsi="Arial" w:cs="Arial"/>
          <w:bCs/>
          <w:sz w:val="20"/>
          <w:szCs w:val="20"/>
        </w:rPr>
        <w:t>3</w:t>
      </w:r>
      <w:r w:rsidRPr="00FA379D">
        <w:rPr>
          <w:rFonts w:ascii="Arial" w:hAnsi="Arial" w:cs="Arial"/>
          <w:bCs/>
          <w:sz w:val="20"/>
          <w:szCs w:val="20"/>
        </w:rPr>
        <w:t xml:space="preserve"> (</w:t>
      </w:r>
      <w:r>
        <w:rPr>
          <w:rFonts w:ascii="Arial" w:hAnsi="Arial" w:cs="Arial"/>
          <w:bCs/>
          <w:sz w:val="20"/>
          <w:szCs w:val="20"/>
        </w:rPr>
        <w:t>31 de Diciembre de 2023</w:t>
      </w:r>
      <w:r w:rsidRPr="00FA379D">
        <w:rPr>
          <w:rFonts w:ascii="Arial" w:hAnsi="Arial" w:cs="Arial"/>
          <w:bCs/>
          <w:sz w:val="20"/>
          <w:szCs w:val="20"/>
        </w:rPr>
        <w:t xml:space="preserve">), el Instituto de Infraestructura </w:t>
      </w:r>
      <w:proofErr w:type="spellStart"/>
      <w:r w:rsidRPr="00FA379D">
        <w:rPr>
          <w:rFonts w:ascii="Arial" w:hAnsi="Arial" w:cs="Arial"/>
          <w:bCs/>
          <w:sz w:val="20"/>
          <w:szCs w:val="20"/>
        </w:rPr>
        <w:t>Fisicia</w:t>
      </w:r>
      <w:proofErr w:type="spellEnd"/>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w:t>
      </w:r>
      <w:r w:rsidRPr="00FA379D">
        <w:rPr>
          <w:rFonts w:ascii="Arial" w:hAnsi="Arial" w:cs="Arial"/>
          <w:bCs/>
          <w:sz w:val="20"/>
          <w:szCs w:val="20"/>
        </w:rPr>
        <w:lastRenderedPageBreak/>
        <w:t xml:space="preserve">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ESTADODE GUANAJUATO, que el INIFEG ha sido LIQUIDADO.</w:t>
      </w:r>
    </w:p>
    <w:bookmarkEnd w:id="2"/>
    <w:p w14:paraId="06C3A8A4" w14:textId="77777777" w:rsidR="00A75257" w:rsidRPr="00FA379D" w:rsidRDefault="00A75257" w:rsidP="00A75257">
      <w:pPr>
        <w:pStyle w:val="Ttulo2"/>
        <w:jc w:val="both"/>
        <w:rPr>
          <w:rFonts w:ascii="Arial" w:hAnsi="Arial" w:cs="Arial"/>
          <w:b/>
          <w:color w:val="auto"/>
          <w:sz w:val="20"/>
          <w:szCs w:val="20"/>
        </w:rPr>
      </w:pPr>
      <w:r w:rsidRPr="00FA379D">
        <w:rPr>
          <w:rFonts w:ascii="Arial" w:hAnsi="Arial" w:cs="Arial"/>
          <w:b/>
          <w:color w:val="auto"/>
          <w:sz w:val="20"/>
          <w:szCs w:val="20"/>
        </w:rPr>
        <w:t>2. Describir el panorama Económico y Financiero:</w:t>
      </w:r>
      <w:bookmarkEnd w:id="6"/>
    </w:p>
    <w:p w14:paraId="1B29587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14:paraId="1C34CD77" w14:textId="77777777" w:rsidR="00A75257" w:rsidRPr="004E151F" w:rsidRDefault="00A75257" w:rsidP="00A75257">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bookmarkStart w:id="7" w:name="_Hlk45505822"/>
      <w:bookmarkStart w:id="8" w:name="_Hlk45505804"/>
      <w:bookmarkEnd w:id="0"/>
    </w:p>
    <w:p w14:paraId="30BB1317" w14:textId="77777777" w:rsidR="00A75257" w:rsidRPr="00FA379D" w:rsidRDefault="00A75257" w:rsidP="00A75257">
      <w:pPr>
        <w:pStyle w:val="Ttulo2"/>
        <w:jc w:val="both"/>
        <w:rPr>
          <w:rFonts w:ascii="Arial" w:hAnsi="Arial" w:cs="Arial"/>
          <w:b/>
          <w:color w:val="auto"/>
          <w:sz w:val="20"/>
          <w:szCs w:val="20"/>
        </w:rPr>
      </w:pPr>
      <w:bookmarkStart w:id="9" w:name="_Toc508279623"/>
      <w:bookmarkStart w:id="10" w:name="_Hlk14084354"/>
      <w:bookmarkStart w:id="11" w:name="_Hlk53540388"/>
      <w:bookmarkStart w:id="12" w:name="_Hlk14084311"/>
      <w:bookmarkStart w:id="13" w:name="_Hlk53540370"/>
      <w:bookmarkEnd w:id="3"/>
      <w:r w:rsidRPr="00FA379D">
        <w:rPr>
          <w:rFonts w:ascii="Arial" w:hAnsi="Arial" w:cs="Arial"/>
          <w:b/>
          <w:color w:val="auto"/>
          <w:sz w:val="20"/>
          <w:szCs w:val="20"/>
        </w:rPr>
        <w:t>3. Autorización e Historia:</w:t>
      </w:r>
      <w:bookmarkEnd w:id="9"/>
    </w:p>
    <w:p w14:paraId="13D8306D" w14:textId="77777777" w:rsidR="00A75257" w:rsidRPr="00FA379D" w:rsidRDefault="00A75257" w:rsidP="00A75257">
      <w:pPr>
        <w:tabs>
          <w:tab w:val="left" w:leader="underscore" w:pos="9639"/>
        </w:tabs>
        <w:jc w:val="both"/>
        <w:rPr>
          <w:rFonts w:ascii="Arial" w:hAnsi="Arial" w:cs="Arial"/>
          <w:sz w:val="20"/>
          <w:szCs w:val="20"/>
        </w:rPr>
      </w:pPr>
    </w:p>
    <w:p w14:paraId="67C67B9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sobre:</w:t>
      </w:r>
      <w:bookmarkEnd w:id="4"/>
    </w:p>
    <w:p w14:paraId="44815B2D" w14:textId="77777777" w:rsidR="00A75257" w:rsidRPr="00FA379D" w:rsidRDefault="00A75257" w:rsidP="00A75257">
      <w:pPr>
        <w:tabs>
          <w:tab w:val="left" w:leader="underscore" w:pos="9639"/>
        </w:tabs>
        <w:jc w:val="both"/>
        <w:rPr>
          <w:rFonts w:ascii="Arial" w:hAnsi="Arial" w:cs="Arial"/>
          <w:sz w:val="20"/>
          <w:szCs w:val="20"/>
        </w:rPr>
      </w:pPr>
      <w:bookmarkStart w:id="14" w:name="_Hlk125634275"/>
      <w:bookmarkStart w:id="15"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3193B413"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0A7017DE" w14:textId="77777777" w:rsidR="00A75257" w:rsidRPr="00FA379D" w:rsidRDefault="00A75257" w:rsidP="00A75257">
      <w:pPr>
        <w:tabs>
          <w:tab w:val="left" w:leader="underscore" w:pos="9639"/>
        </w:tabs>
        <w:jc w:val="both"/>
        <w:rPr>
          <w:rFonts w:ascii="Arial" w:hAnsi="Arial" w:cs="Arial"/>
          <w:sz w:val="20"/>
          <w:szCs w:val="20"/>
        </w:rPr>
      </w:pPr>
      <w:bookmarkStart w:id="16" w:name="_Hlk30594446"/>
      <w:bookmarkStart w:id="17" w:name="_Hlk77667301"/>
      <w:bookmarkStart w:id="18" w:name="_Hlk30594461"/>
      <w:bookmarkStart w:id="19" w:name="_Hlk37984934"/>
      <w:bookmarkEnd w:id="5"/>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095066C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6C82E269" w14:textId="77777777" w:rsidR="00A75257" w:rsidRPr="00FA379D" w:rsidRDefault="00A75257" w:rsidP="00A75257">
      <w:pPr>
        <w:tabs>
          <w:tab w:val="left" w:leader="underscore" w:pos="9639"/>
        </w:tabs>
        <w:jc w:val="both"/>
        <w:rPr>
          <w:rFonts w:ascii="Arial" w:hAnsi="Arial" w:cs="Arial"/>
          <w:sz w:val="20"/>
          <w:szCs w:val="20"/>
        </w:rPr>
      </w:pPr>
      <w:bookmarkStart w:id="20" w:name="_Hlk85201731"/>
      <w:bookmarkStart w:id="21" w:name="_Hlk69711708"/>
      <w:r w:rsidRPr="00FA379D">
        <w:rPr>
          <w:rFonts w:ascii="Arial" w:hAnsi="Arial" w:cs="Arial"/>
          <w:sz w:val="20"/>
          <w:szCs w:val="20"/>
        </w:rPr>
        <w:t>En el mes de junio de 2010 se autoriza la cancelación de 1 plaza nivel 9 para re tabular a 3 jefes de departamento a coordinadores.</w:t>
      </w:r>
    </w:p>
    <w:p w14:paraId="7434D05A"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2929F06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octubre del ejercicio 2011 se autoriza por parte de la Secretaría de Finanzas y Administración la Autorización de la Retabulación de los Coordinadores a Directores de Área.</w:t>
      </w:r>
    </w:p>
    <w:p w14:paraId="48F9567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2013</w:t>
      </w:r>
    </w:p>
    <w:p w14:paraId="20762CE1"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70A488E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bookmarkEnd w:id="7"/>
      <w:bookmarkEnd w:id="10"/>
    </w:p>
    <w:p w14:paraId="73260074" w14:textId="77777777" w:rsidR="00A75257" w:rsidRPr="00FA379D" w:rsidRDefault="00A75257" w:rsidP="00A75257">
      <w:pPr>
        <w:tabs>
          <w:tab w:val="left" w:leader="underscore" w:pos="9639"/>
        </w:tabs>
        <w:jc w:val="both"/>
        <w:rPr>
          <w:rFonts w:ascii="Arial" w:hAnsi="Arial" w:cs="Arial"/>
          <w:b/>
          <w:sz w:val="20"/>
          <w:szCs w:val="20"/>
        </w:rPr>
      </w:pPr>
      <w:bookmarkStart w:id="22" w:name="_Hlk22045039"/>
      <w:bookmarkStart w:id="23" w:name="_Hlk14084456"/>
      <w:r w:rsidRPr="00FA379D">
        <w:rPr>
          <w:rFonts w:ascii="Arial" w:hAnsi="Arial" w:cs="Arial"/>
          <w:b/>
          <w:sz w:val="20"/>
          <w:szCs w:val="20"/>
        </w:rPr>
        <w:t>2014</w:t>
      </w:r>
    </w:p>
    <w:p w14:paraId="13EC54DC"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6C8032F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0D31278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abril de 2014 se autoriza por parte de la Secretaría de Finanzas Inversión y Administración la d</w:t>
      </w:r>
      <w:bookmarkEnd w:id="11"/>
      <w:r w:rsidRPr="00FA379D">
        <w:rPr>
          <w:rFonts w:ascii="Arial" w:hAnsi="Arial" w:cs="Arial"/>
          <w:sz w:val="20"/>
          <w:szCs w:val="20"/>
        </w:rPr>
        <w:t>emoción de dos plazas de supervisores de obra de nivel 8 a 7, la retabulación de una plaza nivel 3 a 4 y el cambio del Área de Costos de la Dirección Técnica a la Dirección de Planeación.</w:t>
      </w:r>
      <w:bookmarkEnd w:id="12"/>
      <w:bookmarkEnd w:id="14"/>
    </w:p>
    <w:p w14:paraId="31C5ECDD" w14:textId="77777777" w:rsidR="00A75257" w:rsidRPr="00FA379D" w:rsidRDefault="00A75257" w:rsidP="00A75257">
      <w:pPr>
        <w:tabs>
          <w:tab w:val="left" w:leader="underscore" w:pos="9639"/>
        </w:tabs>
        <w:jc w:val="both"/>
        <w:rPr>
          <w:rFonts w:ascii="Arial" w:hAnsi="Arial" w:cs="Arial"/>
          <w:sz w:val="20"/>
          <w:szCs w:val="20"/>
        </w:rPr>
      </w:pPr>
      <w:bookmarkStart w:id="24" w:name="_Hlk6143189"/>
      <w:bookmarkStart w:id="25" w:name="_Hlk53540494"/>
      <w:bookmarkEnd w:id="13"/>
      <w:bookmarkEnd w:id="16"/>
      <w:r w:rsidRPr="00FA379D">
        <w:rPr>
          <w:rFonts w:ascii="Arial" w:hAnsi="Arial" w:cs="Arial"/>
          <w:sz w:val="20"/>
          <w:szCs w:val="20"/>
        </w:rPr>
        <w:lastRenderedPageBreak/>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15"/>
      <w:bookmarkEnd w:id="17"/>
    </w:p>
    <w:p w14:paraId="111CA212" w14:textId="77777777" w:rsidR="00A75257" w:rsidRPr="00FA379D" w:rsidRDefault="00A75257" w:rsidP="00A75257">
      <w:pPr>
        <w:tabs>
          <w:tab w:val="left" w:leader="underscore" w:pos="9639"/>
        </w:tabs>
        <w:jc w:val="both"/>
        <w:rPr>
          <w:rFonts w:ascii="Arial" w:hAnsi="Arial" w:cs="Arial"/>
          <w:sz w:val="20"/>
          <w:szCs w:val="20"/>
        </w:rPr>
      </w:pPr>
      <w:bookmarkStart w:id="26" w:name="_Hlk125634296"/>
      <w:bookmarkStart w:id="27" w:name="_Hlk125634307"/>
      <w:bookmarkStart w:id="28" w:name="_Hlk30594504"/>
      <w:bookmarkStart w:id="29" w:name="_Hlk85201766"/>
      <w:bookmarkStart w:id="30" w:name="_Hlk30594595"/>
      <w:bookmarkEnd w:id="18"/>
      <w:bookmarkEnd w:id="20"/>
      <w:r w:rsidRPr="00FA379D">
        <w:rPr>
          <w:rFonts w:ascii="Arial" w:hAnsi="Arial" w:cs="Arial"/>
          <w:sz w:val="20"/>
          <w:szCs w:val="20"/>
        </w:rPr>
        <w:t>En el mes de octubre del mismo año se autoriza por parte de la Secretaría de Finanzas Inversión y Administración la retabulación de nivel 16 a 17 y el cambio de la Plaza de Proyectista de la Dirección de Planeación a la Dirección Técnica como Jefe de Seguimiento y Control de Obra.</w:t>
      </w:r>
      <w:bookmarkEnd w:id="8"/>
      <w:bookmarkEnd w:id="21"/>
    </w:p>
    <w:p w14:paraId="12824078" w14:textId="77777777" w:rsidR="00A75257" w:rsidRPr="00FA379D" w:rsidRDefault="00A75257" w:rsidP="00A75257">
      <w:pPr>
        <w:tabs>
          <w:tab w:val="left" w:leader="underscore" w:pos="9639"/>
        </w:tabs>
        <w:jc w:val="both"/>
        <w:rPr>
          <w:rFonts w:ascii="Arial" w:hAnsi="Arial" w:cs="Arial"/>
          <w:b/>
          <w:bCs/>
          <w:sz w:val="20"/>
          <w:szCs w:val="20"/>
        </w:rPr>
      </w:pPr>
      <w:bookmarkStart w:id="31" w:name="_Hlk37984953"/>
      <w:bookmarkStart w:id="32" w:name="_Hlk69711733"/>
      <w:bookmarkEnd w:id="19"/>
      <w:r w:rsidRPr="00FA379D">
        <w:rPr>
          <w:rFonts w:ascii="Arial" w:hAnsi="Arial" w:cs="Arial"/>
          <w:b/>
          <w:bCs/>
          <w:sz w:val="20"/>
          <w:szCs w:val="20"/>
        </w:rPr>
        <w:t>2015</w:t>
      </w:r>
    </w:p>
    <w:p w14:paraId="29EFEA5A"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73FE3F5B"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 el mes de agosto de 2015 se autoriza por parte de la Secretaría de Finanzas Inversión y Administración la retabulación de doce plazas, de las cuales cuatro son de los Directores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22"/>
      <w:bookmarkEnd w:id="23"/>
      <w:bookmarkEnd w:id="24"/>
    </w:p>
    <w:p w14:paraId="7BD17CE4"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2EB13A54"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601779F6"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junio de 2016, se autoriza por parte de la Secretaría de Finanzas Inversión y Administración la creación de cuatro nuevas plazas, un Coordinador de Diagnóstico nivel 9, un Jefe de Costos nivel 8, un jefe de proyectos nivel 8 y un Programador de Sistemas de Control de Obra, así como la retabulación de la plaza Coordinador de Control Técnico de nivel 6 a 8.</w:t>
      </w:r>
    </w:p>
    <w:p w14:paraId="7FAEBD36"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26"/>
    </w:p>
    <w:p w14:paraId="6D9DC191"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5817C8BE"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237CFE9C"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b/>
          <w:sz w:val="20"/>
          <w:szCs w:val="20"/>
        </w:rPr>
        <w:t>2018</w:t>
      </w:r>
    </w:p>
    <w:p w14:paraId="0D407B7E"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7DCE5BEC" w14:textId="77777777" w:rsidR="00A75257" w:rsidRPr="00FA379D" w:rsidRDefault="00A75257" w:rsidP="00A75257">
      <w:pPr>
        <w:tabs>
          <w:tab w:val="left" w:leader="underscore" w:pos="9639"/>
        </w:tabs>
        <w:jc w:val="both"/>
        <w:rPr>
          <w:rFonts w:ascii="Arial" w:hAnsi="Arial" w:cs="Arial"/>
          <w:bCs/>
          <w:sz w:val="20"/>
          <w:szCs w:val="20"/>
        </w:rPr>
      </w:pPr>
    </w:p>
    <w:p w14:paraId="70A9740D" w14:textId="77777777" w:rsidR="00A75257" w:rsidRPr="00FA379D" w:rsidRDefault="00A75257" w:rsidP="00A75257">
      <w:pPr>
        <w:tabs>
          <w:tab w:val="left" w:leader="underscore" w:pos="9639"/>
        </w:tabs>
        <w:jc w:val="both"/>
        <w:rPr>
          <w:rFonts w:ascii="Arial" w:hAnsi="Arial" w:cs="Arial"/>
          <w:bCs/>
          <w:sz w:val="20"/>
          <w:szCs w:val="20"/>
        </w:rPr>
      </w:pPr>
      <w:bookmarkStart w:id="33" w:name="_Hlk125634322"/>
      <w:bookmarkEnd w:id="27"/>
      <w:r w:rsidRPr="00FA379D">
        <w:rPr>
          <w:rFonts w:ascii="Arial" w:hAnsi="Arial" w:cs="Arial"/>
          <w:bCs/>
          <w:sz w:val="20"/>
          <w:szCs w:val="20"/>
        </w:rPr>
        <w:lastRenderedPageBreak/>
        <w:t>En el mes de noviembre de 2018 la Secretaría de Finanzas Inversión y Administración autorizo la cancelación de una plaza nivel 7 y retabulación de dos plazas nivel 9 a 10 y una plaza nivel 8 a 9.</w:t>
      </w:r>
    </w:p>
    <w:p w14:paraId="2FD618B9"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437F50BE"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b/>
          <w:sz w:val="20"/>
          <w:szCs w:val="20"/>
        </w:rPr>
        <w:t>2019</w:t>
      </w:r>
    </w:p>
    <w:p w14:paraId="06495335"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4609C4FC"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b/>
          <w:sz w:val="20"/>
          <w:szCs w:val="20"/>
        </w:rPr>
        <w:t>2021</w:t>
      </w:r>
    </w:p>
    <w:p w14:paraId="7FD6E23E"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71B25789"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61D51C14"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47A3081A" w14:textId="77777777" w:rsidR="00A75257" w:rsidRPr="00FA379D" w:rsidRDefault="00A75257" w:rsidP="00A7525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547AA94E" w14:textId="77777777" w:rsidR="00A75257" w:rsidRPr="004E151F" w:rsidRDefault="00A75257" w:rsidP="00A75257">
      <w:pPr>
        <w:pStyle w:val="Ttulo2"/>
        <w:jc w:val="both"/>
        <w:rPr>
          <w:rFonts w:ascii="Arial" w:hAnsi="Arial" w:cs="Arial"/>
          <w:b/>
          <w:color w:val="auto"/>
          <w:sz w:val="20"/>
          <w:szCs w:val="20"/>
        </w:rPr>
      </w:pPr>
      <w:bookmarkStart w:id="34" w:name="_Toc508279624"/>
      <w:bookmarkStart w:id="35" w:name="_Hlk6143225"/>
      <w:bookmarkStart w:id="36" w:name="_Hlk14084471"/>
      <w:bookmarkStart w:id="37" w:name="_Hlk45505919"/>
      <w:r w:rsidRPr="00FA379D">
        <w:rPr>
          <w:rFonts w:ascii="Arial" w:hAnsi="Arial" w:cs="Arial"/>
          <w:b/>
          <w:color w:val="auto"/>
          <w:sz w:val="20"/>
          <w:szCs w:val="20"/>
        </w:rPr>
        <w:t>4. Organización y Objeto Social:</w:t>
      </w:r>
      <w:bookmarkEnd w:id="34"/>
    </w:p>
    <w:p w14:paraId="00BE09B4"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1586F53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757AFD80" w14:textId="77777777" w:rsidR="00A75257" w:rsidRPr="004E151F" w:rsidRDefault="00A75257" w:rsidP="00A75257">
      <w:pPr>
        <w:tabs>
          <w:tab w:val="left" w:leader="underscore" w:pos="9639"/>
        </w:tabs>
        <w:jc w:val="both"/>
        <w:rPr>
          <w:rFonts w:ascii="Arial" w:hAnsi="Arial" w:cs="Arial"/>
          <w:b/>
          <w:sz w:val="20"/>
          <w:szCs w:val="20"/>
        </w:rPr>
      </w:pPr>
      <w:r w:rsidRPr="00FA379D">
        <w:rPr>
          <w:rFonts w:ascii="Arial" w:hAnsi="Arial" w:cs="Arial"/>
          <w:sz w:val="20"/>
          <w:szCs w:val="20"/>
        </w:rPr>
        <w:t>Ser un Instituto que fortalezca la Infraestructura Educativa en el Estado de Guanajuato trabajando en equipo, mediante la correcta administración de los recursos.</w:t>
      </w:r>
      <w:bookmarkEnd w:id="25"/>
    </w:p>
    <w:p w14:paraId="0A5C02C3" w14:textId="77777777" w:rsidR="00A75257" w:rsidRPr="00FA379D" w:rsidRDefault="00A75257" w:rsidP="00A75257">
      <w:pPr>
        <w:tabs>
          <w:tab w:val="left" w:leader="underscore" w:pos="9639"/>
        </w:tabs>
        <w:jc w:val="both"/>
        <w:rPr>
          <w:rFonts w:ascii="Arial" w:hAnsi="Arial" w:cs="Arial"/>
          <w:sz w:val="20"/>
          <w:szCs w:val="20"/>
        </w:rPr>
      </w:pPr>
      <w:bookmarkStart w:id="38"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06E2BA40"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bookmarkEnd w:id="28"/>
      <w:bookmarkEnd w:id="33"/>
    </w:p>
    <w:p w14:paraId="430FE0B2" w14:textId="77777777" w:rsidR="00A75257" w:rsidRPr="00FA379D" w:rsidRDefault="00A75257" w:rsidP="00A75257">
      <w:pPr>
        <w:tabs>
          <w:tab w:val="left" w:leader="underscore" w:pos="9639"/>
        </w:tabs>
        <w:jc w:val="both"/>
        <w:rPr>
          <w:rFonts w:ascii="Arial" w:hAnsi="Arial" w:cs="Arial"/>
          <w:sz w:val="20"/>
          <w:szCs w:val="20"/>
        </w:rPr>
      </w:pPr>
      <w:bookmarkStart w:id="39" w:name="_Hlk125634337"/>
      <w:r w:rsidRPr="00FA379D">
        <w:rPr>
          <w:rFonts w:ascii="Arial" w:hAnsi="Arial" w:cs="Arial"/>
          <w:b/>
          <w:sz w:val="20"/>
          <w:szCs w:val="20"/>
        </w:rPr>
        <w:t>c)</w:t>
      </w:r>
      <w:r w:rsidRPr="00FA379D">
        <w:rPr>
          <w:rFonts w:ascii="Arial" w:hAnsi="Arial" w:cs="Arial"/>
          <w:sz w:val="20"/>
          <w:szCs w:val="20"/>
        </w:rPr>
        <w:t xml:space="preserve"> Ejercicio fiscal</w:t>
      </w:r>
    </w:p>
    <w:p w14:paraId="532BF663"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Enero a Diciembre de 202</w:t>
      </w:r>
      <w:r>
        <w:rPr>
          <w:rFonts w:ascii="Arial" w:hAnsi="Arial" w:cs="Arial"/>
          <w:sz w:val="20"/>
          <w:szCs w:val="20"/>
        </w:rPr>
        <w:t>3</w:t>
      </w:r>
      <w:r w:rsidRPr="00FA379D">
        <w:rPr>
          <w:rFonts w:ascii="Arial" w:hAnsi="Arial" w:cs="Arial"/>
          <w:sz w:val="20"/>
          <w:szCs w:val="20"/>
        </w:rPr>
        <w:t>.</w:t>
      </w:r>
    </w:p>
    <w:p w14:paraId="5898191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5E0875FA"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p>
    <w:p w14:paraId="05A2EF1C"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Organismo Público descentralizado con personalidad y patrimonio propio</w:t>
      </w:r>
      <w:bookmarkEnd w:id="29"/>
      <w:bookmarkEnd w:id="31"/>
    </w:p>
    <w:p w14:paraId="56BBBF3E" w14:textId="77777777" w:rsidR="00A75257" w:rsidRPr="00FA379D" w:rsidRDefault="00A75257" w:rsidP="00A75257">
      <w:pPr>
        <w:tabs>
          <w:tab w:val="left" w:leader="underscore" w:pos="9639"/>
        </w:tabs>
        <w:jc w:val="both"/>
        <w:rPr>
          <w:rFonts w:ascii="Arial" w:hAnsi="Arial" w:cs="Arial"/>
          <w:sz w:val="20"/>
          <w:szCs w:val="20"/>
        </w:rPr>
      </w:pPr>
      <w:bookmarkStart w:id="40" w:name="_Hlk37984969"/>
      <w:bookmarkStart w:id="41" w:name="_Hlk85201787"/>
      <w:bookmarkStart w:id="42" w:name="_Hlk30594644"/>
      <w:bookmarkStart w:id="43" w:name="_Hlk30594616"/>
      <w:bookmarkEnd w:id="30"/>
      <w:r w:rsidRPr="00FA379D">
        <w:rPr>
          <w:rFonts w:ascii="Arial" w:hAnsi="Arial" w:cs="Arial"/>
          <w:b/>
          <w:sz w:val="20"/>
          <w:szCs w:val="20"/>
        </w:rPr>
        <w:lastRenderedPageBreak/>
        <w:t>e)</w:t>
      </w:r>
      <w:r w:rsidRPr="00FA379D">
        <w:rPr>
          <w:rFonts w:ascii="Arial" w:hAnsi="Arial" w:cs="Arial"/>
          <w:sz w:val="20"/>
          <w:szCs w:val="20"/>
        </w:rPr>
        <w:t xml:space="preserve"> Consideraciones fiscales del ente: Revelar el tipo de contribuciones que esté obligado a pagar o retener.</w:t>
      </w:r>
    </w:p>
    <w:p w14:paraId="7BA47E98"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70997B9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4B2718C3"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44" w:name="_Hlk6143256"/>
      <w:bookmarkStart w:id="45" w:name="_Hlk14084660"/>
      <w:bookmarkStart w:id="46" w:name="_Hlk22045151"/>
      <w:bookmarkStart w:id="47" w:name="_Hlk22045172"/>
      <w:bookmarkEnd w:id="32"/>
      <w:bookmarkEnd w:id="35"/>
      <w:bookmarkEnd w:id="36"/>
      <w:bookmarkEnd w:id="37"/>
      <w:bookmarkEnd w:id="38"/>
    </w:p>
    <w:p w14:paraId="35EDC0A4" w14:textId="77777777" w:rsidR="00A75257" w:rsidRPr="00FA379D" w:rsidRDefault="00A75257" w:rsidP="00A75257">
      <w:pPr>
        <w:tabs>
          <w:tab w:val="left" w:leader="underscore" w:pos="9639"/>
        </w:tabs>
        <w:jc w:val="both"/>
        <w:rPr>
          <w:rFonts w:ascii="Arial" w:hAnsi="Arial" w:cs="Arial"/>
          <w:sz w:val="20"/>
          <w:szCs w:val="20"/>
        </w:rPr>
      </w:pPr>
      <w:bookmarkStart w:id="48" w:name="_Hlk69711750"/>
      <w:bookmarkStart w:id="49" w:name="_Hlk22045300"/>
      <w:r w:rsidRPr="00FA379D">
        <w:rPr>
          <w:rFonts w:ascii="Arial" w:hAnsi="Arial" w:cs="Arial"/>
          <w:b/>
          <w:sz w:val="20"/>
          <w:szCs w:val="20"/>
        </w:rPr>
        <w:t>f)</w:t>
      </w:r>
      <w:r w:rsidRPr="00FA379D">
        <w:rPr>
          <w:rFonts w:ascii="Arial" w:hAnsi="Arial" w:cs="Arial"/>
          <w:sz w:val="20"/>
          <w:szCs w:val="20"/>
        </w:rPr>
        <w:t xml:space="preserve"> Estructura organizacional básica.</w:t>
      </w:r>
    </w:p>
    <w:bookmarkEnd w:id="45"/>
    <w:p w14:paraId="7D04183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Enero - Diciembre 202</w:t>
      </w:r>
      <w:r>
        <w:rPr>
          <w:rFonts w:ascii="Arial" w:hAnsi="Arial" w:cs="Arial"/>
          <w:i/>
          <w:iCs/>
          <w:color w:val="000000"/>
          <w:sz w:val="20"/>
          <w:szCs w:val="20"/>
          <w:lang w:eastAsia="es-MX"/>
        </w:rPr>
        <w:t>3</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2121B825" w14:textId="77777777" w:rsidR="00A75257" w:rsidRPr="00FA379D" w:rsidRDefault="00A75257" w:rsidP="00A75257">
      <w:pPr>
        <w:tabs>
          <w:tab w:val="left" w:leader="underscore" w:pos="9639"/>
        </w:tabs>
        <w:jc w:val="both"/>
        <w:rPr>
          <w:rFonts w:ascii="Arial" w:hAnsi="Arial" w:cs="Arial"/>
          <w:sz w:val="20"/>
          <w:szCs w:val="20"/>
        </w:rPr>
      </w:pPr>
      <w:bookmarkStart w:id="50" w:name="_Hlk14084688"/>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25A225E8" w14:textId="77777777" w:rsidR="00A75257" w:rsidRPr="004E151F" w:rsidRDefault="00A75257" w:rsidP="00A75257">
      <w:pPr>
        <w:jc w:val="both"/>
        <w:rPr>
          <w:rFonts w:ascii="Arial" w:hAnsi="Arial" w:cs="Arial"/>
          <w:color w:val="000000"/>
          <w:sz w:val="20"/>
          <w:szCs w:val="20"/>
          <w:lang w:eastAsia="es-MX"/>
        </w:rPr>
      </w:pPr>
      <w:bookmarkStart w:id="51" w:name="_Toc508279625"/>
      <w:r w:rsidRPr="00FA379D">
        <w:rPr>
          <w:rFonts w:ascii="Arial" w:hAnsi="Arial" w:cs="Arial"/>
          <w:color w:val="000000"/>
          <w:sz w:val="20"/>
          <w:szCs w:val="20"/>
          <w:lang w:eastAsia="es-MX"/>
        </w:rPr>
        <w:t>Este Instituto de Infraestructura Física Educativa de Guanajuato no cuenta con Fideicomisos</w:t>
      </w:r>
      <w:bookmarkStart w:id="52" w:name="_Hlk45505978"/>
      <w:bookmarkEnd w:id="40"/>
      <w:bookmarkEnd w:id="46"/>
      <w:bookmarkEnd w:id="48"/>
    </w:p>
    <w:p w14:paraId="5894ED2D" w14:textId="77777777" w:rsidR="00A75257" w:rsidRPr="00FA379D" w:rsidRDefault="00A75257" w:rsidP="00A75257">
      <w:pPr>
        <w:pStyle w:val="Ttulo2"/>
        <w:jc w:val="both"/>
        <w:rPr>
          <w:rFonts w:ascii="Arial" w:hAnsi="Arial" w:cs="Arial"/>
          <w:b/>
          <w:color w:val="auto"/>
          <w:sz w:val="20"/>
          <w:szCs w:val="20"/>
        </w:rPr>
      </w:pPr>
      <w:bookmarkStart w:id="53" w:name="_Hlk53540700"/>
      <w:bookmarkStart w:id="54" w:name="_Hlk85201806"/>
      <w:bookmarkStart w:id="55" w:name="_Hlk69711792"/>
      <w:bookmarkStart w:id="56" w:name="_Hlk37985220"/>
      <w:bookmarkEnd w:id="41"/>
      <w:r w:rsidRPr="00FA379D">
        <w:rPr>
          <w:rFonts w:ascii="Arial" w:hAnsi="Arial" w:cs="Arial"/>
          <w:b/>
          <w:color w:val="auto"/>
          <w:sz w:val="20"/>
          <w:szCs w:val="20"/>
        </w:rPr>
        <w:t>5. Bases de Preparación de los Estados Financieros:</w:t>
      </w:r>
      <w:bookmarkEnd w:id="51"/>
    </w:p>
    <w:p w14:paraId="645BC484"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2F8EEEB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1969D35B"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bookmarkEnd w:id="42"/>
      <w:bookmarkEnd w:id="50"/>
    </w:p>
    <w:p w14:paraId="0BDE05DB" w14:textId="77777777" w:rsidR="00A75257" w:rsidRPr="00FA379D" w:rsidRDefault="00A75257" w:rsidP="00A75257">
      <w:pPr>
        <w:tabs>
          <w:tab w:val="left" w:leader="underscore" w:pos="9639"/>
        </w:tabs>
        <w:jc w:val="both"/>
        <w:rPr>
          <w:rFonts w:ascii="Arial" w:hAnsi="Arial" w:cs="Arial"/>
          <w:sz w:val="20"/>
          <w:szCs w:val="20"/>
        </w:rPr>
      </w:pPr>
      <w:bookmarkStart w:id="57" w:name="_Hlk125634357"/>
      <w:bookmarkStart w:id="58" w:name="_Hlk14084876"/>
      <w:bookmarkStart w:id="59" w:name="_Hlk30594675"/>
      <w:bookmarkEnd w:id="39"/>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bookmarkEnd w:id="43"/>
      <w:bookmarkEnd w:id="47"/>
    </w:p>
    <w:p w14:paraId="5F935416"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bookmarkStart w:id="60" w:name="_Hlk6143307"/>
      <w:bookmarkEnd w:id="44"/>
      <w:bookmarkEnd w:id="49"/>
    </w:p>
    <w:p w14:paraId="320DAC4E" w14:textId="77777777" w:rsidR="00A75257" w:rsidRPr="00FA379D" w:rsidRDefault="00A75257" w:rsidP="00A75257">
      <w:pPr>
        <w:tabs>
          <w:tab w:val="left" w:leader="underscore" w:pos="9639"/>
        </w:tabs>
        <w:jc w:val="both"/>
        <w:rPr>
          <w:rFonts w:ascii="Arial" w:hAnsi="Arial" w:cs="Arial"/>
          <w:sz w:val="20"/>
          <w:szCs w:val="20"/>
        </w:rPr>
      </w:pPr>
      <w:bookmarkStart w:id="61"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5197FDC8"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4EEFCC81"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bookmarkEnd w:id="53"/>
    </w:p>
    <w:p w14:paraId="60854B73" w14:textId="77777777" w:rsidR="00A75257" w:rsidRPr="00FA379D" w:rsidRDefault="00A75257" w:rsidP="00A75257">
      <w:pPr>
        <w:tabs>
          <w:tab w:val="left" w:leader="underscore" w:pos="9639"/>
        </w:tabs>
        <w:jc w:val="both"/>
        <w:rPr>
          <w:rFonts w:ascii="Arial" w:hAnsi="Arial" w:cs="Arial"/>
          <w:sz w:val="20"/>
          <w:szCs w:val="20"/>
        </w:rPr>
      </w:pPr>
      <w:bookmarkStart w:id="62" w:name="_Hlk53540739"/>
      <w:r w:rsidRPr="00FA379D">
        <w:rPr>
          <w:rFonts w:ascii="Arial" w:hAnsi="Arial" w:cs="Arial"/>
          <w:sz w:val="20"/>
          <w:szCs w:val="20"/>
        </w:rPr>
        <w:t>Este Instituto de Infraestructura Física Educativa de Guanajuato no aplica normatividad supletoria.</w:t>
      </w:r>
    </w:p>
    <w:p w14:paraId="74AC6BC4" w14:textId="77777777" w:rsidR="00A75257" w:rsidRPr="00FA379D" w:rsidRDefault="00A75257" w:rsidP="00A75257">
      <w:pPr>
        <w:tabs>
          <w:tab w:val="left" w:leader="underscore" w:pos="9639"/>
        </w:tabs>
        <w:jc w:val="both"/>
        <w:rPr>
          <w:rFonts w:ascii="Arial" w:hAnsi="Arial" w:cs="Arial"/>
          <w:sz w:val="20"/>
          <w:szCs w:val="20"/>
        </w:rPr>
      </w:pPr>
    </w:p>
    <w:bookmarkEnd w:id="52"/>
    <w:p w14:paraId="15AF3B1D" w14:textId="77777777" w:rsidR="00A75257" w:rsidRPr="00FA379D" w:rsidRDefault="00A75257" w:rsidP="00A75257">
      <w:pPr>
        <w:tabs>
          <w:tab w:val="left" w:leader="underscore" w:pos="9639"/>
        </w:tabs>
        <w:jc w:val="both"/>
        <w:rPr>
          <w:rFonts w:ascii="Arial" w:hAnsi="Arial" w:cs="Arial"/>
          <w:sz w:val="20"/>
          <w:szCs w:val="20"/>
        </w:rPr>
      </w:pPr>
    </w:p>
    <w:p w14:paraId="7E7B7337" w14:textId="77777777" w:rsidR="00A75257" w:rsidRPr="00FA379D" w:rsidRDefault="00A75257" w:rsidP="00A75257">
      <w:pPr>
        <w:tabs>
          <w:tab w:val="left" w:leader="underscore" w:pos="9639"/>
        </w:tabs>
        <w:jc w:val="both"/>
        <w:rPr>
          <w:rFonts w:ascii="Arial" w:hAnsi="Arial" w:cs="Arial"/>
          <w:sz w:val="20"/>
          <w:szCs w:val="20"/>
        </w:rPr>
      </w:pPr>
      <w:bookmarkStart w:id="63" w:name="_Hlk45506143"/>
      <w:bookmarkStart w:id="64" w:name="_Hlk45506089"/>
      <w:bookmarkEnd w:id="54"/>
      <w:r w:rsidRPr="00FA379D">
        <w:rPr>
          <w:rFonts w:ascii="Arial" w:hAnsi="Arial" w:cs="Arial"/>
          <w:b/>
          <w:sz w:val="20"/>
          <w:szCs w:val="20"/>
        </w:rPr>
        <w:lastRenderedPageBreak/>
        <w:t>e)</w:t>
      </w:r>
      <w:r w:rsidRPr="00FA379D">
        <w:rPr>
          <w:rFonts w:ascii="Arial" w:hAnsi="Arial" w:cs="Arial"/>
          <w:sz w:val="20"/>
          <w:szCs w:val="20"/>
        </w:rPr>
        <w:t xml:space="preserve"> Para las entidades que por primera vez estén implementando el base devengado de acuerdo a la Ley de Contabilidad, deberán:</w:t>
      </w:r>
    </w:p>
    <w:p w14:paraId="6100013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583B54C0"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del mismo, por parte de las reglas emitidas por el CONAC y en conjunto con las recomendaciones y modificaciones a los registros contables solicitadas por la </w:t>
      </w:r>
      <w:proofErr w:type="spellStart"/>
      <w:r w:rsidRPr="00FA379D">
        <w:rPr>
          <w:rFonts w:ascii="Arial" w:hAnsi="Arial" w:cs="Arial"/>
          <w:sz w:val="20"/>
          <w:szCs w:val="20"/>
        </w:rPr>
        <w:t>SFIyA</w:t>
      </w:r>
      <w:proofErr w:type="spellEnd"/>
      <w:r w:rsidRPr="00FA379D">
        <w:rPr>
          <w:rFonts w:ascii="Arial" w:hAnsi="Arial" w:cs="Arial"/>
          <w:sz w:val="20"/>
          <w:szCs w:val="20"/>
        </w:rPr>
        <w:t>.</w:t>
      </w:r>
      <w:bookmarkEnd w:id="55"/>
      <w:bookmarkEnd w:id="57"/>
    </w:p>
    <w:p w14:paraId="772F254F" w14:textId="77777777" w:rsidR="00A75257" w:rsidRPr="00FA379D" w:rsidRDefault="00A75257" w:rsidP="00A75257">
      <w:pPr>
        <w:tabs>
          <w:tab w:val="left" w:leader="underscore" w:pos="9639"/>
        </w:tabs>
        <w:jc w:val="both"/>
        <w:rPr>
          <w:rFonts w:ascii="Arial" w:hAnsi="Arial" w:cs="Arial"/>
          <w:sz w:val="20"/>
          <w:szCs w:val="20"/>
        </w:rPr>
      </w:pPr>
      <w:bookmarkStart w:id="65" w:name="_Hlk85201853"/>
      <w:bookmarkStart w:id="66" w:name="_Hlk37985271"/>
      <w:bookmarkStart w:id="67" w:name="_Hlk37985259"/>
      <w:bookmarkEnd w:id="56"/>
      <w:r w:rsidRPr="00FA379D">
        <w:rPr>
          <w:rFonts w:ascii="Arial" w:hAnsi="Arial" w:cs="Arial"/>
          <w:sz w:val="20"/>
          <w:szCs w:val="20"/>
        </w:rPr>
        <w:t>*Plan de implementación:</w:t>
      </w:r>
    </w:p>
    <w:p w14:paraId="66B7468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201A7CFF" w14:textId="77777777" w:rsidR="00A75257" w:rsidRPr="00FA379D" w:rsidRDefault="00A75257" w:rsidP="00A75257">
      <w:pPr>
        <w:tabs>
          <w:tab w:val="left" w:leader="underscore" w:pos="9639"/>
        </w:tabs>
        <w:jc w:val="both"/>
        <w:rPr>
          <w:rFonts w:ascii="Arial" w:hAnsi="Arial" w:cs="Arial"/>
          <w:sz w:val="20"/>
          <w:szCs w:val="20"/>
        </w:rPr>
      </w:pPr>
      <w:bookmarkStart w:id="68" w:name="_Hlk14084895"/>
      <w:bookmarkStart w:id="69" w:name="_Hlk14084927"/>
      <w:bookmarkStart w:id="70" w:name="_Hlk14084914"/>
      <w:bookmarkEnd w:id="58"/>
      <w:r w:rsidRPr="00FA379D">
        <w:rPr>
          <w:rFonts w:ascii="Arial" w:hAnsi="Arial" w:cs="Arial"/>
          <w:sz w:val="20"/>
          <w:szCs w:val="20"/>
        </w:rPr>
        <w:t>*Revelar los cambios en las políticas, la clasificación y medición de las mismas, así como su impacto en la información financiera:</w:t>
      </w:r>
    </w:p>
    <w:p w14:paraId="3339FA1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523BE15A"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Presentar los últimos estados financieros con la normatividad anteriormente utilizada con las nuevas políticas para fines de comparación en la transición a la base devengado.</w:t>
      </w:r>
      <w:bookmarkEnd w:id="59"/>
      <w:bookmarkEnd w:id="60"/>
      <w:bookmarkEnd w:id="61"/>
    </w:p>
    <w:p w14:paraId="5E411ED9" w14:textId="77777777" w:rsidR="00A75257" w:rsidRPr="004E151F" w:rsidRDefault="00A75257" w:rsidP="00A75257">
      <w:pPr>
        <w:pStyle w:val="Ttulo2"/>
        <w:jc w:val="both"/>
        <w:rPr>
          <w:rFonts w:ascii="Arial" w:hAnsi="Arial" w:cs="Arial"/>
          <w:b/>
          <w:sz w:val="20"/>
          <w:szCs w:val="20"/>
        </w:rPr>
      </w:pPr>
      <w:bookmarkStart w:id="71" w:name="_Toc508279626"/>
      <w:bookmarkStart w:id="72" w:name="_Hlk6143334"/>
      <w:bookmarkStart w:id="73" w:name="_Hlk22045349"/>
      <w:bookmarkStart w:id="74" w:name="_Hlk30594707"/>
      <w:r w:rsidRPr="00FA379D">
        <w:rPr>
          <w:rFonts w:ascii="Arial" w:hAnsi="Arial" w:cs="Arial"/>
          <w:b/>
          <w:color w:val="auto"/>
          <w:sz w:val="20"/>
          <w:szCs w:val="20"/>
        </w:rPr>
        <w:t>6. Políticas de Contabilidad Significativas:</w:t>
      </w:r>
      <w:bookmarkEnd w:id="71"/>
    </w:p>
    <w:p w14:paraId="03494CEB"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2E187DE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bookmarkEnd w:id="62"/>
    </w:p>
    <w:p w14:paraId="7CA3F3E5" w14:textId="77777777" w:rsidR="00A75257" w:rsidRPr="00FA379D" w:rsidRDefault="00A75257" w:rsidP="00A75257">
      <w:pPr>
        <w:tabs>
          <w:tab w:val="left" w:leader="underscore" w:pos="9639"/>
        </w:tabs>
        <w:jc w:val="both"/>
        <w:rPr>
          <w:rFonts w:ascii="Arial" w:hAnsi="Arial" w:cs="Arial"/>
          <w:sz w:val="20"/>
          <w:szCs w:val="20"/>
        </w:rPr>
      </w:pPr>
      <w:bookmarkStart w:id="75" w:name="_Hlk53540772"/>
      <w:r w:rsidRPr="00FA379D">
        <w:rPr>
          <w:rFonts w:ascii="Arial" w:hAnsi="Arial" w:cs="Arial"/>
          <w:sz w:val="20"/>
          <w:szCs w:val="20"/>
        </w:rPr>
        <w:t>Valor Histórico</w:t>
      </w:r>
    </w:p>
    <w:p w14:paraId="38D08044"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31D59615"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bookmarkEnd w:id="63"/>
    </w:p>
    <w:p w14:paraId="69EB7440" w14:textId="77777777" w:rsidR="00A75257" w:rsidRPr="00FA379D" w:rsidRDefault="00A75257" w:rsidP="00A75257">
      <w:pPr>
        <w:tabs>
          <w:tab w:val="left" w:leader="underscore" w:pos="9639"/>
        </w:tabs>
        <w:jc w:val="both"/>
        <w:rPr>
          <w:rFonts w:ascii="Arial" w:hAnsi="Arial" w:cs="Arial"/>
          <w:sz w:val="20"/>
          <w:szCs w:val="20"/>
        </w:rPr>
      </w:pPr>
      <w:bookmarkStart w:id="76"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08D7A62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540EC78A"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Sistema y método de valuación de inventarios y costo de lo vendido:</w:t>
      </w:r>
    </w:p>
    <w:bookmarkEnd w:id="65"/>
    <w:p w14:paraId="5609E601"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bookmarkEnd w:id="64"/>
    <w:p w14:paraId="54C98B47"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52F1179B"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66"/>
    </w:p>
    <w:p w14:paraId="062375F8" w14:textId="77777777" w:rsidR="00A75257" w:rsidRPr="00FA379D" w:rsidRDefault="00A75257" w:rsidP="00A75257">
      <w:pPr>
        <w:tabs>
          <w:tab w:val="left" w:leader="underscore" w:pos="9639"/>
        </w:tabs>
        <w:jc w:val="both"/>
        <w:rPr>
          <w:rFonts w:ascii="Arial" w:hAnsi="Arial" w:cs="Arial"/>
          <w:sz w:val="20"/>
          <w:szCs w:val="20"/>
        </w:rPr>
      </w:pPr>
      <w:bookmarkStart w:id="77" w:name="_Hlk85201881"/>
      <w:bookmarkStart w:id="78" w:name="_Hlk85201892"/>
      <w:bookmarkStart w:id="79" w:name="_Hlk77667411"/>
      <w:bookmarkStart w:id="80" w:name="_Hlk69711834"/>
      <w:bookmarkStart w:id="81" w:name="_Hlk37985291"/>
      <w:bookmarkEnd w:id="68"/>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19716AB6"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bookmarkEnd w:id="69"/>
    </w:p>
    <w:p w14:paraId="2F1783C3" w14:textId="77777777" w:rsidR="00A75257" w:rsidRPr="00FA379D" w:rsidRDefault="00A75257" w:rsidP="00A75257">
      <w:pPr>
        <w:tabs>
          <w:tab w:val="left" w:leader="underscore" w:pos="9639"/>
        </w:tabs>
        <w:jc w:val="both"/>
        <w:rPr>
          <w:rFonts w:ascii="Arial" w:hAnsi="Arial" w:cs="Arial"/>
          <w:sz w:val="20"/>
          <w:szCs w:val="20"/>
        </w:rPr>
      </w:pPr>
      <w:bookmarkStart w:id="82" w:name="_Hlk14084939"/>
      <w:bookmarkStart w:id="83" w:name="_Hlk14084953"/>
      <w:r w:rsidRPr="00FA379D">
        <w:rPr>
          <w:rFonts w:ascii="Arial" w:hAnsi="Arial" w:cs="Arial"/>
          <w:b/>
          <w:sz w:val="20"/>
          <w:szCs w:val="20"/>
        </w:rPr>
        <w:t>g</w:t>
      </w:r>
      <w:bookmarkEnd w:id="70"/>
      <w:r w:rsidRPr="00FA379D">
        <w:rPr>
          <w:rFonts w:ascii="Arial" w:hAnsi="Arial" w:cs="Arial"/>
          <w:b/>
          <w:sz w:val="20"/>
          <w:szCs w:val="20"/>
        </w:rPr>
        <w:t>)</w:t>
      </w:r>
      <w:r w:rsidRPr="00FA379D">
        <w:rPr>
          <w:rFonts w:ascii="Arial" w:hAnsi="Arial" w:cs="Arial"/>
          <w:sz w:val="20"/>
          <w:szCs w:val="20"/>
        </w:rPr>
        <w:t xml:space="preserve"> Reservas: objetivo de su creación, monto y plazo:</w:t>
      </w:r>
    </w:p>
    <w:p w14:paraId="342699CC" w14:textId="77777777" w:rsidR="00A75257" w:rsidRPr="00FA379D" w:rsidRDefault="00A75257" w:rsidP="00A75257">
      <w:pPr>
        <w:tabs>
          <w:tab w:val="left" w:leader="underscore" w:pos="9639"/>
        </w:tabs>
        <w:jc w:val="both"/>
        <w:rPr>
          <w:rFonts w:ascii="Arial" w:hAnsi="Arial" w:cs="Arial"/>
          <w:sz w:val="20"/>
          <w:szCs w:val="20"/>
        </w:rPr>
      </w:pPr>
    </w:p>
    <w:p w14:paraId="47E6E54D" w14:textId="77777777" w:rsidR="00A75257" w:rsidRPr="004E151F" w:rsidRDefault="00A75257" w:rsidP="00A75257">
      <w:pPr>
        <w:tabs>
          <w:tab w:val="left" w:leader="underscore" w:pos="9639"/>
        </w:tabs>
        <w:jc w:val="both"/>
        <w:rPr>
          <w:rFonts w:ascii="Arial" w:hAnsi="Arial" w:cs="Arial"/>
          <w:b/>
          <w:sz w:val="20"/>
          <w:szCs w:val="20"/>
        </w:rPr>
      </w:pPr>
      <w:r w:rsidRPr="00FA379D">
        <w:rPr>
          <w:rFonts w:ascii="Arial" w:hAnsi="Arial" w:cs="Arial"/>
          <w:sz w:val="20"/>
          <w:szCs w:val="20"/>
        </w:rPr>
        <w:lastRenderedPageBreak/>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67"/>
      <w:bookmarkEnd w:id="72"/>
      <w:bookmarkEnd w:id="75"/>
    </w:p>
    <w:p w14:paraId="7FF78BAB" w14:textId="77777777" w:rsidR="00A75257" w:rsidRPr="00FA379D" w:rsidRDefault="00A75257" w:rsidP="00A75257">
      <w:pPr>
        <w:tabs>
          <w:tab w:val="left" w:leader="underscore" w:pos="9639"/>
        </w:tabs>
        <w:jc w:val="both"/>
        <w:rPr>
          <w:rFonts w:ascii="Arial" w:hAnsi="Arial" w:cs="Arial"/>
          <w:sz w:val="20"/>
          <w:szCs w:val="20"/>
        </w:rPr>
      </w:pPr>
      <w:bookmarkStart w:id="84" w:name="_Hlk22045389"/>
      <w:bookmarkStart w:id="85" w:name="_Hlk22045558"/>
      <w:bookmarkStart w:id="86" w:name="_Hlk53540811"/>
      <w:bookmarkStart w:id="87" w:name="_Hlk22045522"/>
      <w:bookmarkStart w:id="88" w:name="_Hlk6143402"/>
      <w:bookmarkStart w:id="89" w:name="_Hlk53540823"/>
      <w:bookmarkStart w:id="90" w:name="_Hlk125634408"/>
      <w:bookmarkStart w:id="91" w:name="_Hlk22045412"/>
      <w:bookmarkEnd w:id="73"/>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bookmarkEnd w:id="74"/>
    </w:p>
    <w:p w14:paraId="56B61103" w14:textId="77777777" w:rsidR="00A75257" w:rsidRPr="00FA379D" w:rsidRDefault="00A75257" w:rsidP="00A75257">
      <w:pPr>
        <w:tabs>
          <w:tab w:val="left" w:leader="underscore" w:pos="9639"/>
        </w:tabs>
        <w:jc w:val="both"/>
        <w:rPr>
          <w:rFonts w:ascii="Arial" w:hAnsi="Arial" w:cs="Arial"/>
          <w:sz w:val="20"/>
          <w:szCs w:val="20"/>
        </w:rPr>
      </w:pPr>
      <w:bookmarkStart w:id="92" w:name="_Hlk30594759"/>
      <w:bookmarkStart w:id="93" w:name="_Hlk30594791"/>
      <w:bookmarkStart w:id="94" w:name="_Hlk30594807"/>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21B77D87"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p w14:paraId="17576AEE" w14:textId="77777777" w:rsidR="00A75257" w:rsidRPr="00FA379D" w:rsidRDefault="00A75257" w:rsidP="00A75257">
      <w:pPr>
        <w:tabs>
          <w:tab w:val="left" w:leader="underscore" w:pos="9639"/>
        </w:tabs>
        <w:jc w:val="both"/>
        <w:rPr>
          <w:rFonts w:ascii="Arial" w:hAnsi="Arial" w:cs="Arial"/>
          <w:sz w:val="20"/>
          <w:szCs w:val="20"/>
        </w:rPr>
      </w:pPr>
      <w:bookmarkStart w:id="95" w:name="_Hlk45506248"/>
      <w:bookmarkStart w:id="96" w:name="_Hlk45506274"/>
      <w:bookmarkEnd w:id="76"/>
      <w:r w:rsidRPr="00FA379D">
        <w:rPr>
          <w:rFonts w:ascii="Arial" w:hAnsi="Arial" w:cs="Arial"/>
          <w:sz w:val="20"/>
          <w:szCs w:val="20"/>
        </w:rPr>
        <w:t>Reclasificaciones en registros contables por cargo en cuentas de gasto no correspondidas, o por registros de pago en cuentas de banco no correspondidas.</w:t>
      </w:r>
      <w:bookmarkEnd w:id="77"/>
    </w:p>
    <w:p w14:paraId="0FADD97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1B7D96FC"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3C15FDB7"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Actualmente este Instituto en conjunto con la Dirección de Recursos de la Secretaria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Start w:id="97" w:name="_Toc508279627"/>
      <w:bookmarkEnd w:id="82"/>
      <w:bookmarkEnd w:id="84"/>
      <w:r w:rsidRPr="00FA379D">
        <w:rPr>
          <w:rFonts w:ascii="Arial" w:hAnsi="Arial" w:cs="Arial"/>
          <w:sz w:val="20"/>
          <w:szCs w:val="20"/>
        </w:rPr>
        <w:t>.</w:t>
      </w:r>
    </w:p>
    <w:p w14:paraId="32B329DA" w14:textId="77777777" w:rsidR="00A75257" w:rsidRPr="00FA379D" w:rsidRDefault="00A75257" w:rsidP="00A75257">
      <w:pPr>
        <w:pStyle w:val="Ttulo2"/>
        <w:jc w:val="both"/>
        <w:rPr>
          <w:rFonts w:ascii="Arial" w:hAnsi="Arial" w:cs="Arial"/>
          <w:b/>
          <w:color w:val="auto"/>
          <w:sz w:val="20"/>
          <w:szCs w:val="20"/>
        </w:rPr>
      </w:pPr>
    </w:p>
    <w:p w14:paraId="1E5957E7" w14:textId="77777777" w:rsidR="00A75257" w:rsidRPr="004E151F" w:rsidRDefault="00A75257" w:rsidP="00A75257">
      <w:pPr>
        <w:pStyle w:val="Ttulo2"/>
        <w:jc w:val="both"/>
        <w:rPr>
          <w:rFonts w:ascii="Arial" w:hAnsi="Arial" w:cs="Arial"/>
          <w:b/>
          <w:color w:val="auto"/>
          <w:sz w:val="20"/>
          <w:szCs w:val="20"/>
        </w:rPr>
      </w:pPr>
      <w:r w:rsidRPr="00FA379D">
        <w:rPr>
          <w:rFonts w:ascii="Arial" w:hAnsi="Arial" w:cs="Arial"/>
          <w:b/>
          <w:color w:val="auto"/>
          <w:sz w:val="20"/>
          <w:szCs w:val="20"/>
        </w:rPr>
        <w:t>7. Posición en Moneda Extranjera y Protección por Riesgo Cambiario:</w:t>
      </w:r>
      <w:bookmarkEnd w:id="97"/>
    </w:p>
    <w:p w14:paraId="648E0C3C"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sobre:</w:t>
      </w:r>
      <w:bookmarkEnd w:id="78"/>
    </w:p>
    <w:p w14:paraId="38785967" w14:textId="77777777" w:rsidR="00A75257" w:rsidRPr="00FA379D" w:rsidRDefault="00A75257" w:rsidP="00A75257">
      <w:pPr>
        <w:tabs>
          <w:tab w:val="left" w:leader="underscore" w:pos="9639"/>
        </w:tabs>
        <w:jc w:val="both"/>
        <w:rPr>
          <w:rFonts w:ascii="Arial" w:hAnsi="Arial" w:cs="Arial"/>
          <w:sz w:val="20"/>
          <w:szCs w:val="20"/>
        </w:rPr>
      </w:pPr>
      <w:bookmarkStart w:id="98" w:name="_Hlk85201905"/>
      <w:bookmarkStart w:id="99" w:name="_Hlk85201919"/>
      <w:r w:rsidRPr="00FA379D">
        <w:rPr>
          <w:rFonts w:ascii="Arial" w:hAnsi="Arial" w:cs="Arial"/>
          <w:b/>
          <w:sz w:val="20"/>
          <w:szCs w:val="20"/>
        </w:rPr>
        <w:t>a)</w:t>
      </w:r>
      <w:r w:rsidRPr="00FA379D">
        <w:rPr>
          <w:rFonts w:ascii="Arial" w:hAnsi="Arial" w:cs="Arial"/>
          <w:sz w:val="20"/>
          <w:szCs w:val="20"/>
        </w:rPr>
        <w:t xml:space="preserve"> Activos en moneda extranjera:</w:t>
      </w:r>
      <w:bookmarkEnd w:id="83"/>
    </w:p>
    <w:p w14:paraId="7C0A84B4" w14:textId="77777777" w:rsidR="00A75257" w:rsidRPr="004E151F" w:rsidRDefault="00A75257" w:rsidP="00A75257">
      <w:pPr>
        <w:tabs>
          <w:tab w:val="left" w:leader="underscore" w:pos="9639"/>
        </w:tabs>
        <w:jc w:val="both"/>
        <w:rPr>
          <w:rFonts w:ascii="Arial" w:hAnsi="Arial" w:cs="Arial"/>
          <w:sz w:val="20"/>
          <w:szCs w:val="20"/>
        </w:rPr>
      </w:pPr>
      <w:bookmarkStart w:id="100" w:name="_Hlk77667429"/>
      <w:bookmarkStart w:id="101" w:name="_Hlk14085018"/>
      <w:bookmarkStart w:id="102" w:name="_Hlk77667446"/>
      <w:bookmarkEnd w:id="79"/>
      <w:r w:rsidRPr="00FA379D">
        <w:rPr>
          <w:rFonts w:ascii="Arial" w:hAnsi="Arial" w:cs="Arial"/>
          <w:sz w:val="20"/>
          <w:szCs w:val="20"/>
        </w:rPr>
        <w:t>Este Instituto de Infraestructura Física Educativa de Guanajuato no cuenta con activos en moneda extranjera.</w:t>
      </w:r>
      <w:bookmarkEnd w:id="80"/>
      <w:bookmarkEnd w:id="85"/>
    </w:p>
    <w:p w14:paraId="3A91E7C0" w14:textId="77777777" w:rsidR="00A75257" w:rsidRPr="00FA379D" w:rsidRDefault="00A75257" w:rsidP="00A75257">
      <w:pPr>
        <w:tabs>
          <w:tab w:val="left" w:leader="underscore" w:pos="9639"/>
        </w:tabs>
        <w:jc w:val="both"/>
        <w:rPr>
          <w:rFonts w:ascii="Arial" w:hAnsi="Arial" w:cs="Arial"/>
          <w:sz w:val="20"/>
          <w:szCs w:val="20"/>
        </w:rPr>
      </w:pPr>
      <w:bookmarkStart w:id="103" w:name="_Hlk22045574"/>
      <w:r w:rsidRPr="00FA379D">
        <w:rPr>
          <w:rFonts w:ascii="Arial" w:hAnsi="Arial" w:cs="Arial"/>
          <w:b/>
          <w:sz w:val="20"/>
          <w:szCs w:val="20"/>
        </w:rPr>
        <w:t>b)</w:t>
      </w:r>
      <w:r w:rsidRPr="00FA379D">
        <w:rPr>
          <w:rFonts w:ascii="Arial" w:hAnsi="Arial" w:cs="Arial"/>
          <w:sz w:val="20"/>
          <w:szCs w:val="20"/>
        </w:rPr>
        <w:t xml:space="preserve"> Pasivos en moneda extranjera:</w:t>
      </w:r>
    </w:p>
    <w:p w14:paraId="0A747C0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bookmarkEnd w:id="86"/>
      <w:bookmarkEnd w:id="92"/>
    </w:p>
    <w:p w14:paraId="31C7ED9E" w14:textId="77777777" w:rsidR="00A75257" w:rsidRPr="00FA379D" w:rsidRDefault="00A75257" w:rsidP="00A75257">
      <w:pPr>
        <w:tabs>
          <w:tab w:val="left" w:leader="underscore" w:pos="9639"/>
        </w:tabs>
        <w:jc w:val="both"/>
        <w:rPr>
          <w:rFonts w:ascii="Arial" w:hAnsi="Arial" w:cs="Arial"/>
          <w:sz w:val="20"/>
          <w:szCs w:val="20"/>
        </w:rPr>
      </w:pPr>
      <w:bookmarkStart w:id="104" w:name="_Hlk37985306"/>
      <w:bookmarkEnd w:id="81"/>
      <w:r w:rsidRPr="00FA379D">
        <w:rPr>
          <w:rFonts w:ascii="Arial" w:hAnsi="Arial" w:cs="Arial"/>
          <w:b/>
          <w:sz w:val="20"/>
          <w:szCs w:val="20"/>
        </w:rPr>
        <w:t xml:space="preserve">c) </w:t>
      </w:r>
      <w:r w:rsidRPr="00FA379D">
        <w:rPr>
          <w:rFonts w:ascii="Arial" w:hAnsi="Arial" w:cs="Arial"/>
          <w:sz w:val="20"/>
          <w:szCs w:val="20"/>
        </w:rPr>
        <w:t>Posición en moneda extranjera:</w:t>
      </w:r>
    </w:p>
    <w:p w14:paraId="5DF399A4" w14:textId="77777777" w:rsidR="00A75257" w:rsidRPr="00FA379D" w:rsidRDefault="00A75257" w:rsidP="00A75257">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bookmarkEnd w:id="87"/>
    </w:p>
    <w:p w14:paraId="655A2136" w14:textId="77777777" w:rsidR="00A75257" w:rsidRPr="00FA379D" w:rsidRDefault="00A75257" w:rsidP="00A75257">
      <w:pPr>
        <w:tabs>
          <w:tab w:val="left" w:leader="underscore" w:pos="9639"/>
        </w:tabs>
        <w:jc w:val="both"/>
        <w:rPr>
          <w:rFonts w:ascii="Arial" w:hAnsi="Arial" w:cs="Arial"/>
          <w:sz w:val="20"/>
          <w:szCs w:val="20"/>
        </w:rPr>
      </w:pPr>
      <w:bookmarkStart w:id="105" w:name="_Hlk6143475"/>
      <w:bookmarkEnd w:id="88"/>
      <w:r w:rsidRPr="00FA379D">
        <w:rPr>
          <w:rFonts w:ascii="Arial" w:hAnsi="Arial" w:cs="Arial"/>
          <w:b/>
          <w:sz w:val="20"/>
          <w:szCs w:val="20"/>
        </w:rPr>
        <w:t>d)</w:t>
      </w:r>
      <w:r w:rsidRPr="00FA379D">
        <w:rPr>
          <w:rFonts w:ascii="Arial" w:hAnsi="Arial" w:cs="Arial"/>
          <w:sz w:val="20"/>
          <w:szCs w:val="20"/>
        </w:rPr>
        <w:t xml:space="preserve"> Tipo de cambio:</w:t>
      </w:r>
    </w:p>
    <w:p w14:paraId="4DB8FF64"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89"/>
    </w:p>
    <w:p w14:paraId="4D2A72F3" w14:textId="77777777" w:rsidR="00A75257" w:rsidRPr="00FA379D" w:rsidRDefault="00A75257" w:rsidP="00A75257">
      <w:pPr>
        <w:tabs>
          <w:tab w:val="left" w:leader="underscore" w:pos="9639"/>
        </w:tabs>
        <w:jc w:val="both"/>
        <w:rPr>
          <w:rFonts w:ascii="Arial" w:hAnsi="Arial" w:cs="Arial"/>
          <w:sz w:val="20"/>
          <w:szCs w:val="20"/>
        </w:rPr>
      </w:pPr>
      <w:bookmarkStart w:id="106" w:name="_Hlk53540900"/>
      <w:bookmarkStart w:id="107" w:name="_Hlk53540914"/>
      <w:bookmarkStart w:id="108" w:name="_Hlk53540875"/>
      <w:bookmarkEnd w:id="93"/>
      <w:bookmarkEnd w:id="95"/>
      <w:r w:rsidRPr="00FA379D">
        <w:rPr>
          <w:rFonts w:ascii="Arial" w:hAnsi="Arial" w:cs="Arial"/>
          <w:b/>
          <w:sz w:val="20"/>
          <w:szCs w:val="20"/>
        </w:rPr>
        <w:t xml:space="preserve">e) </w:t>
      </w:r>
      <w:r w:rsidRPr="00FA379D">
        <w:rPr>
          <w:rFonts w:ascii="Arial" w:hAnsi="Arial" w:cs="Arial"/>
          <w:sz w:val="20"/>
          <w:szCs w:val="20"/>
        </w:rPr>
        <w:t>Equivalente en moneda nacional:</w:t>
      </w:r>
    </w:p>
    <w:p w14:paraId="7088A30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44E319B6" w14:textId="77777777" w:rsidR="00A75257" w:rsidRPr="00FA379D" w:rsidRDefault="00A75257" w:rsidP="00A75257">
      <w:pPr>
        <w:tabs>
          <w:tab w:val="left" w:leader="underscore" w:pos="9639"/>
        </w:tabs>
        <w:jc w:val="both"/>
        <w:rPr>
          <w:rFonts w:ascii="Arial" w:hAnsi="Arial" w:cs="Arial"/>
          <w:sz w:val="20"/>
          <w:szCs w:val="20"/>
        </w:rPr>
      </w:pPr>
    </w:p>
    <w:p w14:paraId="575E30C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lastRenderedPageBreak/>
        <w:t>Lo anterior por cada tipo de moneda extranjera que se encuentre en los rubros de activo y pasivo.</w:t>
      </w:r>
      <w:bookmarkEnd w:id="90"/>
    </w:p>
    <w:p w14:paraId="538173EB" w14:textId="77777777" w:rsidR="00A75257" w:rsidRPr="00FA379D" w:rsidRDefault="00A75257" w:rsidP="00A75257">
      <w:pPr>
        <w:tabs>
          <w:tab w:val="left" w:leader="underscore" w:pos="9639"/>
        </w:tabs>
        <w:jc w:val="both"/>
        <w:rPr>
          <w:rFonts w:ascii="Arial" w:hAnsi="Arial" w:cs="Arial"/>
          <w:sz w:val="20"/>
          <w:szCs w:val="20"/>
        </w:rPr>
      </w:pPr>
      <w:bookmarkStart w:id="109" w:name="_Hlk125634429"/>
      <w:bookmarkStart w:id="110" w:name="_Hlk125634421"/>
      <w:r w:rsidRPr="00FA379D">
        <w:rPr>
          <w:rFonts w:ascii="Arial" w:hAnsi="Arial" w:cs="Arial"/>
          <w:sz w:val="20"/>
          <w:szCs w:val="20"/>
        </w:rPr>
        <w:t>Adicionalmente se informará sobre los métodos de protección de riesgo por variaciones en el tipo de cambio.</w:t>
      </w:r>
      <w:bookmarkEnd w:id="91"/>
    </w:p>
    <w:p w14:paraId="2848D85D" w14:textId="77777777" w:rsidR="00A75257" w:rsidRPr="004E151F" w:rsidRDefault="00A75257" w:rsidP="00A75257">
      <w:pPr>
        <w:pStyle w:val="Ttulo2"/>
        <w:jc w:val="both"/>
        <w:rPr>
          <w:rFonts w:ascii="Arial" w:hAnsi="Arial" w:cs="Arial"/>
          <w:b/>
          <w:color w:val="auto"/>
          <w:sz w:val="20"/>
          <w:szCs w:val="20"/>
        </w:rPr>
      </w:pPr>
      <w:bookmarkStart w:id="111" w:name="_Toc508279628"/>
      <w:bookmarkStart w:id="112" w:name="_Hlk30594878"/>
      <w:bookmarkStart w:id="113" w:name="_Hlk45506404"/>
      <w:bookmarkStart w:id="114" w:name="_Hlk45506325"/>
      <w:bookmarkStart w:id="115" w:name="_Hlk30594858"/>
      <w:bookmarkEnd w:id="94"/>
      <w:r w:rsidRPr="00FA379D">
        <w:rPr>
          <w:rFonts w:ascii="Arial" w:hAnsi="Arial" w:cs="Arial"/>
          <w:b/>
          <w:color w:val="auto"/>
          <w:sz w:val="20"/>
          <w:szCs w:val="20"/>
        </w:rPr>
        <w:t>8</w:t>
      </w:r>
      <w:bookmarkEnd w:id="96"/>
      <w:r w:rsidRPr="00FA379D">
        <w:rPr>
          <w:rFonts w:ascii="Arial" w:hAnsi="Arial" w:cs="Arial"/>
          <w:b/>
          <w:color w:val="auto"/>
          <w:sz w:val="20"/>
          <w:szCs w:val="20"/>
        </w:rPr>
        <w:t>. Reporte Analítico del Activo:</w:t>
      </w:r>
      <w:bookmarkEnd w:id="111"/>
    </w:p>
    <w:p w14:paraId="0DA12109"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797D010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4B9E450F"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11CC3BA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bookmarkEnd w:id="98"/>
    </w:p>
    <w:p w14:paraId="631A0C8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De conformidad con la norma de CONAC y los alcances del SIHP, actualmente sólo pueden considerarse las 40 clases de activos vigentes.</w:t>
      </w:r>
      <w:bookmarkEnd w:id="100"/>
    </w:p>
    <w:p w14:paraId="7960599B"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005A8E17"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2D09C8B8"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6B6615C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101"/>
      <w:bookmarkEnd w:id="106"/>
    </w:p>
    <w:p w14:paraId="465F7BB1" w14:textId="77777777" w:rsidR="00A75257" w:rsidRPr="00FA379D" w:rsidRDefault="00A75257" w:rsidP="00A75257">
      <w:pPr>
        <w:tabs>
          <w:tab w:val="left" w:leader="underscore" w:pos="9639"/>
        </w:tabs>
        <w:jc w:val="both"/>
        <w:rPr>
          <w:rFonts w:ascii="Arial" w:hAnsi="Arial" w:cs="Arial"/>
          <w:sz w:val="20"/>
          <w:szCs w:val="20"/>
        </w:rPr>
      </w:pPr>
      <w:bookmarkStart w:id="116" w:name="_Hlk14085043"/>
      <w:bookmarkStart w:id="117" w:name="_Hlk77667493"/>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581918E1" w14:textId="77777777" w:rsidR="00A75257" w:rsidRPr="004E151F" w:rsidRDefault="00A75257" w:rsidP="00A75257">
      <w:pPr>
        <w:tabs>
          <w:tab w:val="left" w:leader="underscore" w:pos="9639"/>
        </w:tabs>
        <w:jc w:val="both"/>
        <w:rPr>
          <w:rFonts w:ascii="Arial" w:hAnsi="Arial" w:cs="Arial"/>
          <w:sz w:val="20"/>
          <w:szCs w:val="20"/>
        </w:rPr>
      </w:pPr>
      <w:bookmarkStart w:id="118" w:name="_Hlk85201943"/>
      <w:bookmarkStart w:id="119" w:name="_Hlk85201957"/>
      <w:bookmarkEnd w:id="99"/>
      <w:r w:rsidRPr="00FA379D">
        <w:rPr>
          <w:rFonts w:ascii="Arial" w:hAnsi="Arial" w:cs="Arial"/>
          <w:sz w:val="20"/>
          <w:szCs w:val="20"/>
        </w:rPr>
        <w:t>No aplica</w:t>
      </w:r>
      <w:bookmarkStart w:id="120" w:name="_Hlk37985327"/>
      <w:bookmarkEnd w:id="103"/>
      <w:bookmarkEnd w:id="104"/>
    </w:p>
    <w:p w14:paraId="55DC58F0" w14:textId="77777777" w:rsidR="00A75257" w:rsidRPr="00FA379D" w:rsidRDefault="00A75257" w:rsidP="00A75257">
      <w:pPr>
        <w:tabs>
          <w:tab w:val="left" w:leader="underscore" w:pos="9639"/>
        </w:tabs>
        <w:jc w:val="both"/>
        <w:rPr>
          <w:rFonts w:ascii="Arial" w:hAnsi="Arial" w:cs="Arial"/>
          <w:sz w:val="20"/>
          <w:szCs w:val="20"/>
        </w:rPr>
      </w:pPr>
      <w:bookmarkStart w:id="121" w:name="_Hlk69711888"/>
      <w:bookmarkStart w:id="122" w:name="_Hlk22045617"/>
      <w:r w:rsidRPr="00FA379D">
        <w:rPr>
          <w:rFonts w:ascii="Arial" w:hAnsi="Arial" w:cs="Arial"/>
          <w:b/>
          <w:sz w:val="20"/>
          <w:szCs w:val="20"/>
        </w:rPr>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14CC9E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102"/>
      <w:bookmarkEnd w:id="107"/>
    </w:p>
    <w:p w14:paraId="79EB61A9" w14:textId="77777777" w:rsidR="00A75257" w:rsidRPr="00FA379D" w:rsidRDefault="00A75257" w:rsidP="00A75257">
      <w:pPr>
        <w:tabs>
          <w:tab w:val="left" w:leader="underscore" w:pos="9639"/>
        </w:tabs>
        <w:jc w:val="both"/>
        <w:rPr>
          <w:rFonts w:ascii="Arial" w:hAnsi="Arial" w:cs="Arial"/>
          <w:sz w:val="20"/>
          <w:szCs w:val="20"/>
        </w:rPr>
      </w:pPr>
      <w:bookmarkStart w:id="123" w:name="_Hlk53540946"/>
      <w:bookmarkStart w:id="124" w:name="_Hlk6143544"/>
      <w:bookmarkStart w:id="125" w:name="_Hlk53540985"/>
      <w:bookmarkEnd w:id="105"/>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560E850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108"/>
    </w:p>
    <w:p w14:paraId="06136ECA"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328DE2CC"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bookmarkEnd w:id="112"/>
      <w:bookmarkEnd w:id="113"/>
    </w:p>
    <w:p w14:paraId="0842746B" w14:textId="77777777" w:rsidR="00A75257" w:rsidRPr="00FA379D" w:rsidRDefault="00A75257" w:rsidP="00A75257">
      <w:pPr>
        <w:tabs>
          <w:tab w:val="left" w:leader="underscore" w:pos="9639"/>
        </w:tabs>
        <w:jc w:val="both"/>
        <w:rPr>
          <w:rFonts w:ascii="Arial" w:hAnsi="Arial" w:cs="Arial"/>
          <w:sz w:val="20"/>
          <w:szCs w:val="20"/>
        </w:rPr>
      </w:pPr>
      <w:bookmarkStart w:id="126" w:name="_Hlk30594902"/>
      <w:r w:rsidRPr="00FA379D">
        <w:rPr>
          <w:rFonts w:ascii="Arial" w:hAnsi="Arial" w:cs="Arial"/>
          <w:sz w:val="20"/>
          <w:szCs w:val="20"/>
        </w:rPr>
        <w:t>Adicionalmente, se deben incluir las explicaciones de las principales variaciones en el activo, en cuadros comparativos como sigue:</w:t>
      </w:r>
      <w:bookmarkEnd w:id="109"/>
      <w:bookmarkEnd w:id="114"/>
    </w:p>
    <w:p w14:paraId="7878EB35" w14:textId="77777777" w:rsidR="00A75257" w:rsidRPr="00FA379D" w:rsidRDefault="00A75257" w:rsidP="00A75257">
      <w:pPr>
        <w:tabs>
          <w:tab w:val="left" w:leader="underscore" w:pos="9639"/>
        </w:tabs>
        <w:jc w:val="both"/>
        <w:rPr>
          <w:rFonts w:ascii="Arial" w:hAnsi="Arial" w:cs="Arial"/>
          <w:sz w:val="20"/>
          <w:szCs w:val="20"/>
        </w:rPr>
      </w:pPr>
      <w:bookmarkStart w:id="127" w:name="_Hlk125634443"/>
      <w:r w:rsidRPr="00FA379D">
        <w:rPr>
          <w:rFonts w:ascii="Arial" w:hAnsi="Arial" w:cs="Arial"/>
          <w:b/>
          <w:sz w:val="20"/>
          <w:szCs w:val="20"/>
        </w:rPr>
        <w:t>a)</w:t>
      </w:r>
      <w:r w:rsidRPr="00FA379D">
        <w:rPr>
          <w:rFonts w:ascii="Arial" w:hAnsi="Arial" w:cs="Arial"/>
          <w:sz w:val="20"/>
          <w:szCs w:val="20"/>
        </w:rPr>
        <w:t xml:space="preserve"> Inversiones en valores:</w:t>
      </w:r>
    </w:p>
    <w:p w14:paraId="51E45540"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3FA761F9"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366729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5C47ACC0"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44BB3909"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bookmarkEnd w:id="110"/>
    <w:p w14:paraId="5D87EEB3" w14:textId="77777777" w:rsidR="00A75257" w:rsidRPr="00FA379D" w:rsidRDefault="00A75257" w:rsidP="00A75257">
      <w:pPr>
        <w:tabs>
          <w:tab w:val="left" w:leader="underscore" w:pos="9639"/>
        </w:tabs>
        <w:jc w:val="both"/>
        <w:rPr>
          <w:rFonts w:ascii="Arial" w:hAnsi="Arial" w:cs="Arial"/>
          <w:sz w:val="20"/>
          <w:szCs w:val="20"/>
        </w:rPr>
      </w:pPr>
    </w:p>
    <w:p w14:paraId="42DD4077"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3CFEDD3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187A35F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p w14:paraId="23761A08"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115"/>
      <w:bookmarkEnd w:id="116"/>
      <w:bookmarkEnd w:id="118"/>
    </w:p>
    <w:p w14:paraId="04D166B2" w14:textId="77777777" w:rsidR="00A75257" w:rsidRPr="004E151F" w:rsidRDefault="00A75257" w:rsidP="00A75257">
      <w:pPr>
        <w:pStyle w:val="Ttulo2"/>
        <w:jc w:val="both"/>
        <w:rPr>
          <w:rFonts w:ascii="Arial" w:hAnsi="Arial" w:cs="Arial"/>
          <w:b/>
          <w:color w:val="auto"/>
          <w:sz w:val="20"/>
          <w:szCs w:val="20"/>
        </w:rPr>
      </w:pPr>
      <w:bookmarkStart w:id="128" w:name="_Toc508279629"/>
      <w:bookmarkStart w:id="129" w:name="_Hlk14085070"/>
      <w:r w:rsidRPr="00FA379D">
        <w:rPr>
          <w:rFonts w:ascii="Arial" w:hAnsi="Arial" w:cs="Arial"/>
          <w:b/>
          <w:color w:val="auto"/>
          <w:sz w:val="20"/>
          <w:szCs w:val="20"/>
        </w:rPr>
        <w:t>9. Fideicomisos, Mandatos y Análogos:</w:t>
      </w:r>
      <w:bookmarkEnd w:id="128"/>
    </w:p>
    <w:p w14:paraId="705D809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deberá informar:</w:t>
      </w:r>
    </w:p>
    <w:p w14:paraId="4E1A4CE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Por ramo administrativo que los reporta:</w:t>
      </w:r>
    </w:p>
    <w:p w14:paraId="62065C3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121"/>
    </w:p>
    <w:p w14:paraId="290D942F" w14:textId="77777777" w:rsidR="00A75257" w:rsidRPr="00FA379D" w:rsidRDefault="00A75257" w:rsidP="00A75257">
      <w:pPr>
        <w:tabs>
          <w:tab w:val="left" w:leader="underscore" w:pos="9639"/>
        </w:tabs>
        <w:jc w:val="both"/>
        <w:rPr>
          <w:rFonts w:ascii="Arial" w:hAnsi="Arial" w:cs="Arial"/>
          <w:sz w:val="20"/>
          <w:szCs w:val="20"/>
        </w:rPr>
      </w:pPr>
      <w:bookmarkStart w:id="130" w:name="_Hlk37985352"/>
      <w:bookmarkStart w:id="131" w:name="_Hlk22045673"/>
      <w:bookmarkStart w:id="132" w:name="_Hlk77667615"/>
      <w:bookmarkStart w:id="133" w:name="_Hlk69711908"/>
      <w:bookmarkEnd w:id="117"/>
      <w:bookmarkEnd w:id="120"/>
      <w:bookmarkEnd w:id="122"/>
      <w:r w:rsidRPr="00FA379D">
        <w:rPr>
          <w:rFonts w:ascii="Arial" w:hAnsi="Arial" w:cs="Arial"/>
          <w:b/>
          <w:sz w:val="20"/>
          <w:szCs w:val="20"/>
        </w:rPr>
        <w:t>b)</w:t>
      </w:r>
      <w:r w:rsidRPr="00FA379D">
        <w:rPr>
          <w:rFonts w:ascii="Arial" w:hAnsi="Arial" w:cs="Arial"/>
          <w:sz w:val="20"/>
          <w:szCs w:val="20"/>
        </w:rPr>
        <w:t xml:space="preserve"> Enlistar los de mayor monto de disponibilidad, relacionando aquéllos que conforman el 80% de las disponibilidades:</w:t>
      </w:r>
      <w:bookmarkEnd w:id="119"/>
      <w:bookmarkEnd w:id="123"/>
    </w:p>
    <w:p w14:paraId="08FAAADD" w14:textId="77777777" w:rsidR="00A75257" w:rsidRPr="00FA379D" w:rsidRDefault="00A75257" w:rsidP="00A75257">
      <w:pPr>
        <w:tabs>
          <w:tab w:val="left" w:leader="underscore" w:pos="9639"/>
        </w:tabs>
        <w:jc w:val="both"/>
        <w:rPr>
          <w:rFonts w:ascii="Arial" w:hAnsi="Arial" w:cs="Arial"/>
          <w:sz w:val="20"/>
          <w:szCs w:val="20"/>
        </w:rPr>
      </w:pPr>
      <w:bookmarkStart w:id="134" w:name="_Hlk85201972"/>
      <w:bookmarkStart w:id="135" w:name="_Hlk85201982"/>
      <w:bookmarkEnd w:id="124"/>
    </w:p>
    <w:p w14:paraId="1379A752" w14:textId="77777777" w:rsidR="00A75257" w:rsidRPr="00FA379D" w:rsidRDefault="00A75257" w:rsidP="00A75257">
      <w:pPr>
        <w:pStyle w:val="Ttulo2"/>
        <w:jc w:val="both"/>
        <w:rPr>
          <w:rFonts w:ascii="Arial" w:hAnsi="Arial" w:cs="Arial"/>
          <w:b/>
          <w:color w:val="auto"/>
          <w:sz w:val="20"/>
          <w:szCs w:val="20"/>
        </w:rPr>
      </w:pPr>
      <w:bookmarkStart w:id="136" w:name="_Toc508279630"/>
      <w:bookmarkStart w:id="137" w:name="_Hlk6143634"/>
      <w:bookmarkStart w:id="138" w:name="_Hlk53541010"/>
      <w:bookmarkEnd w:id="125"/>
      <w:r w:rsidRPr="00FA379D">
        <w:rPr>
          <w:rFonts w:ascii="Arial" w:hAnsi="Arial" w:cs="Arial"/>
          <w:b/>
          <w:color w:val="auto"/>
          <w:sz w:val="20"/>
          <w:szCs w:val="20"/>
        </w:rPr>
        <w:t>10. Reporte de la Recaudación:</w:t>
      </w:r>
      <w:bookmarkEnd w:id="136"/>
    </w:p>
    <w:p w14:paraId="3D14AFC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5DA77D71" w14:textId="3BD0B070"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 xml:space="preserve">En virtud de los Instrumentos Normativos dirigidos a controlar el ejercicio del gasto público en cumplimiento a los Principios de Racionalidad y Austeridad, los ingresos por concepto de </w:t>
      </w:r>
      <w:r w:rsidRPr="00FA379D">
        <w:rPr>
          <w:rFonts w:ascii="Arial" w:hAnsi="Arial" w:cs="Arial"/>
          <w:b/>
          <w:bCs/>
          <w:sz w:val="20"/>
          <w:szCs w:val="20"/>
          <w:u w:val="single"/>
        </w:rPr>
        <w:t xml:space="preserve">Sanciones </w:t>
      </w:r>
      <w:r w:rsidRPr="00FA379D">
        <w:rPr>
          <w:rFonts w:ascii="Arial" w:hAnsi="Arial" w:cs="Arial"/>
          <w:sz w:val="20"/>
          <w:szCs w:val="20"/>
        </w:rPr>
        <w:t xml:space="preserve">recaudados por el Instituto de  Infraestructura </w:t>
      </w:r>
      <w:r w:rsidR="00714AA2" w:rsidRPr="00FA379D">
        <w:rPr>
          <w:rFonts w:ascii="Arial" w:hAnsi="Arial" w:cs="Arial"/>
          <w:sz w:val="20"/>
          <w:szCs w:val="20"/>
        </w:rPr>
        <w:t>física</w:t>
      </w:r>
      <w:r w:rsidRPr="00FA379D">
        <w:rPr>
          <w:rFonts w:ascii="Arial" w:hAnsi="Arial" w:cs="Arial"/>
          <w:sz w:val="20"/>
          <w:szCs w:val="20"/>
        </w:rPr>
        <w:t xml:space="preserve"> Educativa de Guanajuato por un importe de $949,019.46 (Novecientos cuarenta y nueve mil diecinueve pesos 46/100M.N), se cargaron en el ingreso, pero al no estar definido su destino no se realizó la carga en el gasto atendiendo a lo estipulado en el artículo 41 de los Lineamientos Generales de Racionalidad, Austeridad y Disciplina Presupuestal de la Administración Pública Estatal para el Ejercicio Fiscal del 2022, así como de la Circular 09/2022 emitida por la Dirección General de Presupuesto.</w:t>
      </w:r>
      <w:bookmarkEnd w:id="127"/>
    </w:p>
    <w:p w14:paraId="7D843B54" w14:textId="77777777" w:rsidR="00A75257" w:rsidRPr="00FA379D" w:rsidRDefault="00A75257" w:rsidP="00A75257">
      <w:pPr>
        <w:tabs>
          <w:tab w:val="left" w:leader="underscore" w:pos="9639"/>
        </w:tabs>
        <w:jc w:val="both"/>
        <w:rPr>
          <w:rFonts w:ascii="Arial" w:hAnsi="Arial" w:cs="Arial"/>
          <w:sz w:val="20"/>
          <w:szCs w:val="20"/>
        </w:rPr>
      </w:pPr>
      <w:bookmarkStart w:id="139" w:name="_Hlk125634455"/>
      <w:r w:rsidRPr="00FA379D">
        <w:rPr>
          <w:rFonts w:ascii="Arial" w:hAnsi="Arial" w:cs="Arial"/>
          <w:sz w:val="20"/>
          <w:szCs w:val="20"/>
        </w:rPr>
        <w:t>La Circular 09/2022 emitida por la Dirección General de Presupuesto. dio a conocer los supuestos de "ingresos excedentes" con fuente de financiamiento de ingresos propios 2022, cuyo gasto no se comprobó el destino específico, por lo tanto, únicamente se reflejará dicho desequilibrio en los nuevos fondos, siendo entonces que el resto de los recursos guardarán el equilibrio presupuestal.</w:t>
      </w:r>
    </w:p>
    <w:p w14:paraId="54E4F934" w14:textId="77777777" w:rsidR="00A75257" w:rsidRPr="00FA379D" w:rsidRDefault="00A75257" w:rsidP="00A75257">
      <w:pPr>
        <w:tabs>
          <w:tab w:val="left" w:leader="underscore" w:pos="9639"/>
        </w:tabs>
        <w:jc w:val="both"/>
        <w:rPr>
          <w:rFonts w:ascii="Arial" w:hAnsi="Arial" w:cs="Arial"/>
          <w:sz w:val="20"/>
          <w:szCs w:val="20"/>
        </w:rPr>
      </w:pPr>
    </w:p>
    <w:p w14:paraId="6F392B1C"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7F37CE99"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 xml:space="preserve">El proyecto de recaudación de Ingresos Propios de este Instituto de Infraestructura Física Educativa de Guanajuato es de </w:t>
      </w:r>
      <w:r w:rsidRPr="00FA379D">
        <w:rPr>
          <w:rFonts w:ascii="Arial" w:hAnsi="Arial" w:cs="Arial"/>
          <w:b/>
          <w:bCs/>
          <w:sz w:val="20"/>
          <w:szCs w:val="20"/>
        </w:rPr>
        <w:t>$ 1´274,450.00 (UN MILLÓN DOSCIENTOS SETENTA Y CUATRO MIL CUATROCIENTOS CINCUENTA PESOS 00/100 M.N.)</w:t>
      </w:r>
      <w:r w:rsidRPr="00FA379D">
        <w:rPr>
          <w:rFonts w:ascii="Arial" w:hAnsi="Arial" w:cs="Arial"/>
          <w:sz w:val="20"/>
          <w:szCs w:val="20"/>
        </w:rPr>
        <w:t xml:space="preserve"> que es el presupuesto asignado en la Ley de Ingresos para el estado de Guanajuato 2022 más-menos las modificaciones por ampliaciones y reducciones liquidas al mes de Diciembre.</w:t>
      </w:r>
      <w:bookmarkEnd w:id="126"/>
    </w:p>
    <w:p w14:paraId="1AFDC67C" w14:textId="77777777" w:rsidR="00A75257" w:rsidRPr="004E151F" w:rsidRDefault="00A75257" w:rsidP="00A75257">
      <w:pPr>
        <w:pStyle w:val="Ttulo2"/>
        <w:jc w:val="both"/>
        <w:rPr>
          <w:rFonts w:ascii="Arial" w:hAnsi="Arial" w:cs="Arial"/>
          <w:b/>
          <w:color w:val="auto"/>
          <w:sz w:val="20"/>
          <w:szCs w:val="20"/>
        </w:rPr>
      </w:pPr>
      <w:bookmarkStart w:id="140" w:name="_Toc508279631"/>
      <w:bookmarkStart w:id="141" w:name="_Hlk45506451"/>
      <w:bookmarkStart w:id="142" w:name="_Hlk30594923"/>
      <w:r w:rsidRPr="00FA379D">
        <w:rPr>
          <w:rFonts w:ascii="Arial" w:hAnsi="Arial" w:cs="Arial"/>
          <w:b/>
          <w:color w:val="auto"/>
          <w:sz w:val="20"/>
          <w:szCs w:val="20"/>
        </w:rPr>
        <w:t>11. Información sobre la Deuda y el Reporte Analítico de la Deuda:</w:t>
      </w:r>
      <w:bookmarkEnd w:id="140"/>
    </w:p>
    <w:p w14:paraId="14B4431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Utilizar al menos los siguientes indicadores económicos: deuda respecto al PIB y deuda respecto a la recaudación tomando, como mínimo, un período igual o menor a 5 años.</w:t>
      </w:r>
    </w:p>
    <w:p w14:paraId="627F6E9F"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4DC3C7B7" w14:textId="77777777" w:rsidR="00A75257" w:rsidRPr="00FA379D" w:rsidRDefault="00A75257" w:rsidP="00A75257">
      <w:pPr>
        <w:tabs>
          <w:tab w:val="left" w:leader="underscore" w:pos="9639"/>
        </w:tabs>
        <w:jc w:val="both"/>
        <w:rPr>
          <w:rFonts w:ascii="Arial" w:hAnsi="Arial" w:cs="Arial"/>
          <w:sz w:val="20"/>
          <w:szCs w:val="20"/>
        </w:rPr>
      </w:pPr>
    </w:p>
    <w:p w14:paraId="6AD19E48"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lastRenderedPageBreak/>
        <w:t>b)</w:t>
      </w:r>
      <w:r w:rsidRPr="00FA379D">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14:paraId="06B21217"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786CBF6A" w14:textId="77777777" w:rsidR="00A75257" w:rsidRPr="00FA379D" w:rsidRDefault="00A75257" w:rsidP="00A75257">
      <w:pPr>
        <w:tabs>
          <w:tab w:val="left" w:leader="underscore" w:pos="9639"/>
        </w:tabs>
        <w:jc w:val="both"/>
        <w:rPr>
          <w:rFonts w:ascii="Arial" w:hAnsi="Arial" w:cs="Arial"/>
          <w:sz w:val="20"/>
          <w:szCs w:val="20"/>
        </w:rPr>
      </w:pPr>
    </w:p>
    <w:p w14:paraId="7EF83526" w14:textId="77777777" w:rsidR="00A75257" w:rsidRPr="004E151F" w:rsidRDefault="00A75257" w:rsidP="00A75257">
      <w:pPr>
        <w:pStyle w:val="Ttulo2"/>
        <w:jc w:val="both"/>
        <w:rPr>
          <w:rFonts w:ascii="Arial" w:hAnsi="Arial" w:cs="Arial"/>
          <w:b/>
          <w:color w:val="auto"/>
          <w:sz w:val="20"/>
          <w:szCs w:val="20"/>
        </w:rPr>
      </w:pPr>
      <w:bookmarkStart w:id="143" w:name="_Toc508279632"/>
      <w:bookmarkStart w:id="144" w:name="_Hlk14085087"/>
      <w:bookmarkStart w:id="145" w:name="_Hlk14085097"/>
      <w:bookmarkEnd w:id="129"/>
      <w:r w:rsidRPr="00FA379D">
        <w:rPr>
          <w:rFonts w:ascii="Arial" w:hAnsi="Arial" w:cs="Arial"/>
          <w:b/>
          <w:color w:val="auto"/>
          <w:sz w:val="20"/>
          <w:szCs w:val="20"/>
        </w:rPr>
        <w:t>12. Calificaciones otorgadas:</w:t>
      </w:r>
      <w:bookmarkEnd w:id="143"/>
    </w:p>
    <w:p w14:paraId="131BE586"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Informar, tanto del ente público como cualquier transacción realizada, que haya sido sujeta a una calificación crediticia:</w:t>
      </w:r>
      <w:bookmarkEnd w:id="134"/>
    </w:p>
    <w:p w14:paraId="3040FCC1"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bookmarkEnd w:id="130"/>
      <w:bookmarkEnd w:id="137"/>
    </w:p>
    <w:p w14:paraId="482D3EFF" w14:textId="77777777" w:rsidR="00A75257" w:rsidRPr="004E151F" w:rsidRDefault="00A75257" w:rsidP="00A75257">
      <w:pPr>
        <w:pStyle w:val="Ttulo2"/>
        <w:jc w:val="both"/>
        <w:rPr>
          <w:rFonts w:ascii="Arial" w:hAnsi="Arial" w:cs="Arial"/>
          <w:b/>
          <w:color w:val="auto"/>
          <w:sz w:val="20"/>
          <w:szCs w:val="20"/>
        </w:rPr>
      </w:pPr>
      <w:bookmarkStart w:id="146" w:name="_Toc508279633"/>
      <w:bookmarkStart w:id="147" w:name="_Hlk69711958"/>
      <w:bookmarkStart w:id="148" w:name="_Hlk6143667"/>
      <w:bookmarkStart w:id="149" w:name="_Hlk53541045"/>
      <w:bookmarkStart w:id="150" w:name="_Hlk69711975"/>
      <w:bookmarkStart w:id="151" w:name="_Hlk37985386"/>
      <w:bookmarkEnd w:id="131"/>
      <w:bookmarkEnd w:id="138"/>
      <w:r w:rsidRPr="00FA379D">
        <w:rPr>
          <w:rFonts w:ascii="Arial" w:hAnsi="Arial" w:cs="Arial"/>
          <w:b/>
          <w:color w:val="auto"/>
          <w:sz w:val="20"/>
          <w:szCs w:val="20"/>
        </w:rPr>
        <w:t>13. Proceso de Mejora:</w:t>
      </w:r>
      <w:bookmarkEnd w:id="146"/>
    </w:p>
    <w:p w14:paraId="0AD69009"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6460631D"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60C73210"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bookmarkEnd w:id="139"/>
    </w:p>
    <w:p w14:paraId="54D88A8B" w14:textId="77777777" w:rsidR="00A75257" w:rsidRPr="00FA379D" w:rsidRDefault="00A75257" w:rsidP="00A75257">
      <w:pPr>
        <w:tabs>
          <w:tab w:val="left" w:leader="underscore" w:pos="9639"/>
        </w:tabs>
        <w:jc w:val="both"/>
        <w:rPr>
          <w:rFonts w:ascii="Arial" w:hAnsi="Arial" w:cs="Arial"/>
          <w:sz w:val="20"/>
          <w:szCs w:val="20"/>
        </w:rPr>
      </w:pPr>
      <w:bookmarkStart w:id="152" w:name="_Hlk85201997"/>
      <w:bookmarkStart w:id="153" w:name="_Hlk85202007"/>
      <w:bookmarkEnd w:id="132"/>
      <w:bookmarkEnd w:id="135"/>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bookmarkEnd w:id="133"/>
    <w:p w14:paraId="1247E492"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bookmarkStart w:id="154" w:name="_Hlk45506479"/>
      <w:bookmarkStart w:id="155" w:name="_Hlk535938280"/>
      <w:bookmarkEnd w:id="141"/>
    </w:p>
    <w:p w14:paraId="6B1861FE"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bookmarkEnd w:id="142"/>
      <w:bookmarkEnd w:id="144"/>
    </w:p>
    <w:p w14:paraId="21744CE1" w14:textId="77777777" w:rsidR="00A75257" w:rsidRPr="00FA379D" w:rsidRDefault="00A75257" w:rsidP="00A75257">
      <w:pPr>
        <w:pStyle w:val="Ttulo2"/>
        <w:jc w:val="both"/>
        <w:rPr>
          <w:rFonts w:ascii="Arial" w:hAnsi="Arial" w:cs="Arial"/>
          <w:b/>
          <w:color w:val="auto"/>
          <w:sz w:val="20"/>
          <w:szCs w:val="20"/>
        </w:rPr>
      </w:pPr>
      <w:bookmarkStart w:id="156" w:name="_Toc508279634"/>
      <w:bookmarkStart w:id="157" w:name="_Hlk30594949"/>
      <w:r w:rsidRPr="00FA379D">
        <w:rPr>
          <w:rFonts w:ascii="Arial" w:hAnsi="Arial" w:cs="Arial"/>
          <w:b/>
          <w:color w:val="auto"/>
          <w:sz w:val="20"/>
          <w:szCs w:val="20"/>
        </w:rPr>
        <w:t>14. Información por Segmentos:</w:t>
      </w:r>
      <w:bookmarkEnd w:id="156"/>
    </w:p>
    <w:p w14:paraId="05B6141B"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52E0469"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Consecuentemente, esta información contribuye al análisis más preciso de la situación financiera, grados y fuentes de riesgo y crecimiento potencial de negocio.</w:t>
      </w:r>
      <w:bookmarkStart w:id="158" w:name="_Toc508279635"/>
      <w:bookmarkEnd w:id="145"/>
      <w:bookmarkEnd w:id="147"/>
      <w:bookmarkEnd w:id="148"/>
    </w:p>
    <w:p w14:paraId="416BF740" w14:textId="77777777" w:rsidR="00A75257" w:rsidRPr="00FA379D" w:rsidRDefault="00A75257" w:rsidP="00A75257">
      <w:pPr>
        <w:tabs>
          <w:tab w:val="left" w:leader="underscore" w:pos="9639"/>
        </w:tabs>
        <w:jc w:val="both"/>
        <w:rPr>
          <w:rFonts w:ascii="Arial" w:hAnsi="Arial" w:cs="Arial"/>
          <w:sz w:val="20"/>
          <w:szCs w:val="20"/>
        </w:rPr>
      </w:pPr>
      <w:bookmarkStart w:id="159" w:name="_Hlk22045727"/>
      <w:bookmarkStart w:id="160" w:name="_Hlk22045883"/>
      <w:bookmarkStart w:id="161" w:name="_Hlk53541085"/>
      <w:bookmarkStart w:id="162" w:name="_Hlk14085147"/>
      <w:bookmarkStart w:id="163" w:name="_Hlk6143703"/>
      <w:bookmarkStart w:id="164" w:name="_Hlk14085202"/>
      <w:bookmarkEnd w:id="149"/>
      <w:r w:rsidRPr="00FA379D">
        <w:rPr>
          <w:rFonts w:ascii="Arial" w:hAnsi="Arial" w:cs="Arial"/>
          <w:b/>
          <w:sz w:val="20"/>
          <w:szCs w:val="20"/>
        </w:rPr>
        <w:t>15. Eventos Posteriores al Cierre:</w:t>
      </w:r>
      <w:bookmarkEnd w:id="158"/>
    </w:p>
    <w:p w14:paraId="65F93A8C" w14:textId="77777777" w:rsidR="00A75257" w:rsidRPr="004E151F"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FA379D">
        <w:rPr>
          <w:rFonts w:ascii="Arial" w:hAnsi="Arial" w:cs="Arial"/>
          <w:sz w:val="20"/>
          <w:szCs w:val="20"/>
        </w:rPr>
        <w:cr/>
        <w:t xml:space="preserve"> No existen eventos posteriores.</w:t>
      </w:r>
      <w:bookmarkEnd w:id="150"/>
      <w:bookmarkEnd w:id="152"/>
    </w:p>
    <w:p w14:paraId="25480712" w14:textId="77777777" w:rsidR="00A75257" w:rsidRPr="00FA379D" w:rsidRDefault="00A75257" w:rsidP="00A75257">
      <w:pPr>
        <w:pStyle w:val="Ttulo2"/>
        <w:jc w:val="both"/>
        <w:rPr>
          <w:rFonts w:ascii="Arial" w:hAnsi="Arial" w:cs="Arial"/>
          <w:b/>
          <w:color w:val="auto"/>
          <w:sz w:val="20"/>
          <w:szCs w:val="20"/>
        </w:rPr>
      </w:pPr>
      <w:bookmarkStart w:id="165" w:name="_Toc508279636"/>
      <w:bookmarkStart w:id="166" w:name="_Hlk37985403"/>
      <w:bookmarkEnd w:id="151"/>
      <w:r w:rsidRPr="00FA379D">
        <w:rPr>
          <w:rFonts w:ascii="Arial" w:hAnsi="Arial" w:cs="Arial"/>
          <w:b/>
          <w:color w:val="auto"/>
          <w:sz w:val="20"/>
          <w:szCs w:val="20"/>
        </w:rPr>
        <w:t>16. Partes Relacionadas:</w:t>
      </w:r>
      <w:bookmarkEnd w:id="165"/>
    </w:p>
    <w:p w14:paraId="5743FAD4"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Se debe establecer por escrito que no existen partes relacionadas que pudieran ejercer influencia significativa sobre la toma de decisiones financieras y operativas:</w:t>
      </w:r>
    </w:p>
    <w:p w14:paraId="65FA872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No aplica</w:t>
      </w:r>
    </w:p>
    <w:p w14:paraId="5720ECB1" w14:textId="77777777" w:rsidR="00A75257" w:rsidRPr="00FA379D" w:rsidRDefault="00A75257" w:rsidP="00A75257">
      <w:pPr>
        <w:pStyle w:val="Ttulo2"/>
        <w:jc w:val="both"/>
        <w:rPr>
          <w:rFonts w:ascii="Arial" w:eastAsia="Calibri" w:hAnsi="Arial" w:cs="Arial"/>
          <w:color w:val="auto"/>
          <w:sz w:val="20"/>
          <w:szCs w:val="20"/>
        </w:rPr>
      </w:pPr>
      <w:bookmarkStart w:id="167" w:name="_Toc508279637"/>
      <w:bookmarkEnd w:id="153"/>
    </w:p>
    <w:p w14:paraId="25251B3E" w14:textId="77777777" w:rsidR="00A75257" w:rsidRPr="004E151F" w:rsidRDefault="00A75257" w:rsidP="00A75257">
      <w:pPr>
        <w:pStyle w:val="Ttulo2"/>
        <w:jc w:val="both"/>
        <w:rPr>
          <w:rFonts w:ascii="Arial" w:hAnsi="Arial" w:cs="Arial"/>
          <w:b/>
          <w:color w:val="auto"/>
          <w:sz w:val="20"/>
          <w:szCs w:val="20"/>
        </w:rPr>
      </w:pPr>
      <w:bookmarkStart w:id="168" w:name="_Hlk45506514"/>
      <w:bookmarkStart w:id="169" w:name="_Hlk85202418"/>
      <w:bookmarkStart w:id="170" w:name="_Hlk125634491"/>
      <w:bookmarkEnd w:id="154"/>
      <w:r w:rsidRPr="00FA379D">
        <w:rPr>
          <w:rFonts w:ascii="Arial" w:hAnsi="Arial" w:cs="Arial"/>
          <w:b/>
          <w:color w:val="auto"/>
          <w:sz w:val="20"/>
          <w:szCs w:val="20"/>
        </w:rPr>
        <w:t>17. Responsabilidad Sobre la Presentación Razonable de la Información Contable:</w:t>
      </w:r>
      <w:bookmarkEnd w:id="167"/>
    </w:p>
    <w:p w14:paraId="1B92E44E" w14:textId="77777777" w:rsidR="00A75257" w:rsidRPr="00FA379D" w:rsidRDefault="00A75257" w:rsidP="00A75257">
      <w:pPr>
        <w:tabs>
          <w:tab w:val="left" w:leader="underscore" w:pos="9639"/>
        </w:tabs>
        <w:jc w:val="both"/>
        <w:rPr>
          <w:rFonts w:ascii="Arial" w:hAnsi="Arial" w:cs="Arial"/>
          <w:sz w:val="20"/>
          <w:szCs w:val="20"/>
        </w:rPr>
      </w:pPr>
      <w:r w:rsidRPr="00FA379D">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6D4D4273" w14:textId="77777777" w:rsidR="00A75257" w:rsidRPr="00FA379D" w:rsidRDefault="00A75257" w:rsidP="00A75257">
      <w:pPr>
        <w:pBdr>
          <w:bottom w:val="single" w:sz="12" w:space="1" w:color="auto"/>
        </w:pBdr>
        <w:tabs>
          <w:tab w:val="left" w:leader="underscore" w:pos="9639"/>
        </w:tabs>
        <w:jc w:val="both"/>
        <w:rPr>
          <w:rFonts w:ascii="Arial" w:hAnsi="Arial" w:cs="Arial"/>
          <w:sz w:val="20"/>
          <w:szCs w:val="20"/>
        </w:rPr>
      </w:pPr>
      <w:bookmarkStart w:id="171" w:name="_Hlk535938377"/>
      <w:bookmarkEnd w:id="155"/>
      <w:r w:rsidRPr="00FA379D">
        <w:rPr>
          <w:rFonts w:ascii="Arial" w:hAnsi="Arial" w:cs="Arial"/>
          <w:sz w:val="20"/>
          <w:szCs w:val="20"/>
        </w:rPr>
        <w:t>Nota 1: Las notas de Gestión Administrativa sólo se presentarán en medio digital, en impreso son opcional (de acuerdo, ver Guía para la entrega de la Cuenta Pública e Información Financiera Trimestral), las notas que no estén contempladas en el formato se agregarán libremente al mismo.</w:t>
      </w:r>
      <w:bookmarkEnd w:id="157"/>
      <w:bookmarkEnd w:id="159"/>
      <w:bookmarkEnd w:id="160"/>
      <w:bookmarkEnd w:id="161"/>
      <w:bookmarkEnd w:id="166"/>
      <w:bookmarkEnd w:id="168"/>
      <w:bookmarkEnd w:id="169"/>
      <w:bookmarkEnd w:id="170"/>
    </w:p>
    <w:p w14:paraId="47FB25DF" w14:textId="77777777" w:rsidR="00A75257" w:rsidRPr="00FA379D" w:rsidRDefault="00A75257" w:rsidP="00A75257">
      <w:pPr>
        <w:pBdr>
          <w:bottom w:val="single" w:sz="12" w:space="1" w:color="auto"/>
        </w:pBdr>
        <w:tabs>
          <w:tab w:val="left" w:leader="underscore" w:pos="9639"/>
        </w:tabs>
        <w:jc w:val="both"/>
        <w:rPr>
          <w:rFonts w:ascii="Arial" w:hAnsi="Arial" w:cs="Arial"/>
          <w:sz w:val="20"/>
          <w:szCs w:val="20"/>
        </w:rPr>
      </w:pPr>
      <w:bookmarkStart w:id="172" w:name="_Hlk125634531"/>
      <w:r w:rsidRPr="00FA379D">
        <w:rPr>
          <w:rFonts w:ascii="Arial" w:hAnsi="Arial" w:cs="Arial"/>
          <w:sz w:val="20"/>
          <w:szCs w:val="20"/>
        </w:rPr>
        <w:t xml:space="preserve">De acuerdo con el </w:t>
      </w:r>
      <w:r w:rsidRPr="00FA379D">
        <w:rPr>
          <w:rFonts w:ascii="Arial" w:hAnsi="Arial" w:cs="Arial"/>
          <w:b/>
          <w:sz w:val="20"/>
          <w:szCs w:val="20"/>
        </w:rPr>
        <w:t>artículo 13 fracción VIII</w:t>
      </w:r>
      <w:r w:rsidRPr="00FA379D">
        <w:rPr>
          <w:rFonts w:ascii="Arial" w:hAnsi="Arial" w:cs="Arial"/>
          <w:sz w:val="20"/>
          <w:szCs w:val="20"/>
        </w:rPr>
        <w:t xml:space="preserve">, de la Ley de Disciplina Financiera de las Entidades Federativas y los Municipios </w:t>
      </w:r>
      <w:r w:rsidRPr="00FA379D">
        <w:rPr>
          <w:rFonts w:ascii="Arial" w:hAnsi="Arial" w:cs="Arial"/>
          <w:b/>
          <w:sz w:val="20"/>
          <w:szCs w:val="20"/>
        </w:rPr>
        <w:t>(LDF), «</w:t>
      </w:r>
      <w:r w:rsidRPr="00FA379D">
        <w:rPr>
          <w:rFonts w:ascii="Arial" w:hAnsi="Arial" w:cs="Arial"/>
          <w:sz w:val="20"/>
          <w:szCs w:val="20"/>
        </w:rPr>
        <w:t xml:space="preserve">Una vez concluida la vigencia del Presupuesto de Egresos, sólo procederá realizar </w:t>
      </w:r>
      <w:bookmarkEnd w:id="162"/>
      <w:r w:rsidRPr="00FA379D">
        <w:rPr>
          <w:rFonts w:ascii="Arial" w:hAnsi="Arial" w:cs="Arial"/>
          <w:sz w:val="20"/>
          <w:szCs w:val="20"/>
        </w:rPr>
        <w:t xml:space="preserve">pagos con base en dicho presupuesto, por los conceptos efectivamente devengados en el año que corresponda y que se hubieren registrado en el informe de cuentas por pagar y que integran el pasivo circulante al </w:t>
      </w:r>
      <w:r w:rsidRPr="00FA379D">
        <w:rPr>
          <w:rFonts w:ascii="Arial" w:hAnsi="Arial" w:cs="Arial"/>
          <w:b/>
          <w:sz w:val="20"/>
          <w:szCs w:val="20"/>
        </w:rPr>
        <w:t>cierre</w:t>
      </w:r>
      <w:r w:rsidRPr="00FA379D">
        <w:rPr>
          <w:rFonts w:ascii="Arial" w:hAnsi="Arial" w:cs="Arial"/>
          <w:sz w:val="20"/>
          <w:szCs w:val="20"/>
        </w:rPr>
        <w:t xml:space="preserve"> </w:t>
      </w:r>
      <w:r w:rsidRPr="00FA379D">
        <w:rPr>
          <w:rFonts w:ascii="Arial" w:hAnsi="Arial" w:cs="Arial"/>
          <w:b/>
          <w:sz w:val="20"/>
          <w:szCs w:val="20"/>
        </w:rPr>
        <w:t>del ejercicio</w:t>
      </w:r>
      <w:r w:rsidRPr="00FA379D">
        <w:rPr>
          <w:rFonts w:ascii="Arial" w:hAnsi="Arial" w:cs="Arial"/>
          <w:sz w:val="20"/>
          <w:szCs w:val="20"/>
        </w:rPr>
        <w:t>.</w:t>
      </w:r>
      <w:r w:rsidRPr="00FA379D">
        <w:rPr>
          <w:rFonts w:ascii="Arial" w:hAnsi="Arial" w:cs="Arial"/>
          <w:b/>
          <w:sz w:val="20"/>
          <w:szCs w:val="20"/>
        </w:rPr>
        <w:t>»</w:t>
      </w:r>
      <w:bookmarkStart w:id="173" w:name="_Hlk535938397"/>
      <w:bookmarkEnd w:id="163"/>
      <w:bookmarkEnd w:id="164"/>
      <w:bookmarkEnd w:id="171"/>
    </w:p>
    <w:p w14:paraId="08E8ABAA" w14:textId="77777777" w:rsidR="00A75257" w:rsidRDefault="00A75257" w:rsidP="00A75257">
      <w:pPr>
        <w:jc w:val="both"/>
        <w:rPr>
          <w:rFonts w:ascii="Arial" w:hAnsi="Arial" w:cs="Arial"/>
          <w:sz w:val="20"/>
          <w:szCs w:val="20"/>
        </w:rPr>
      </w:pPr>
    </w:p>
    <w:p w14:paraId="610E4F74" w14:textId="77777777" w:rsidR="00A75257" w:rsidRDefault="00A75257" w:rsidP="00A75257">
      <w:pPr>
        <w:jc w:val="both"/>
        <w:rPr>
          <w:rFonts w:ascii="Arial" w:hAnsi="Arial" w:cs="Arial"/>
          <w:sz w:val="20"/>
          <w:szCs w:val="20"/>
        </w:rPr>
      </w:pPr>
    </w:p>
    <w:p w14:paraId="7D0B05E8" w14:textId="77777777" w:rsidR="00A75257" w:rsidRPr="00FA379D" w:rsidRDefault="00A75257" w:rsidP="00A75257">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bookmarkEnd w:id="172"/>
    <w:bookmarkEnd w:id="173"/>
    <w:p w14:paraId="2AEE7D49" w14:textId="77777777" w:rsidR="00A75257" w:rsidRDefault="00A75257" w:rsidP="00A75257">
      <w:pPr>
        <w:tabs>
          <w:tab w:val="left" w:pos="2025"/>
        </w:tabs>
        <w:jc w:val="center"/>
      </w:pPr>
    </w:p>
    <w:p w14:paraId="1A49117E" w14:textId="77777777" w:rsidR="00A75257" w:rsidRDefault="00A75257" w:rsidP="00A75257">
      <w:pPr>
        <w:tabs>
          <w:tab w:val="left" w:pos="2025"/>
        </w:tabs>
        <w:jc w:val="center"/>
      </w:pPr>
    </w:p>
    <w:p w14:paraId="0030DC8E" w14:textId="77777777" w:rsidR="00A75257" w:rsidRDefault="00A75257" w:rsidP="00A75257">
      <w:pPr>
        <w:tabs>
          <w:tab w:val="left" w:pos="2025"/>
        </w:tabs>
        <w:jc w:val="center"/>
      </w:pPr>
    </w:p>
    <w:p w14:paraId="6D89D587" w14:textId="77777777" w:rsidR="00A75257" w:rsidRDefault="00A75257" w:rsidP="00A75257">
      <w:pPr>
        <w:tabs>
          <w:tab w:val="left" w:pos="2025"/>
        </w:tabs>
        <w:jc w:val="center"/>
      </w:pPr>
    </w:p>
    <w:p w14:paraId="5BD180BF" w14:textId="77777777" w:rsidR="00A75257" w:rsidRDefault="00A75257" w:rsidP="00A75257">
      <w:pPr>
        <w:tabs>
          <w:tab w:val="left" w:pos="2025"/>
        </w:tabs>
        <w:jc w:val="center"/>
      </w:pPr>
      <w:r>
        <w:rPr>
          <w:noProof/>
        </w:rPr>
        <mc:AlternateContent>
          <mc:Choice Requires="wps">
            <w:drawing>
              <wp:anchor distT="0" distB="0" distL="114300" distR="114300" simplePos="0" relativeHeight="251662336" behindDoc="0" locked="0" layoutInCell="1" allowOverlap="1" wp14:anchorId="4874DB5E" wp14:editId="46108E6C">
                <wp:simplePos x="0" y="0"/>
                <wp:positionH relativeFrom="margin">
                  <wp:posOffset>4402455</wp:posOffset>
                </wp:positionH>
                <wp:positionV relativeFrom="paragraph">
                  <wp:posOffset>137160</wp:posOffset>
                </wp:positionV>
                <wp:extent cx="1695450" cy="800100"/>
                <wp:effectExtent l="0" t="0" r="0" b="0"/>
                <wp:wrapNone/>
                <wp:docPr id="1905852334" name="Cuadro de texto 1"/>
                <wp:cNvGraphicFramePr xmlns:a="http://schemas.openxmlformats.org/drawingml/2006/main"/>
                <a:graphic xmlns:a="http://schemas.openxmlformats.org/drawingml/2006/main">
                  <a:graphicData uri="http://schemas.microsoft.com/office/word/2010/wordprocessingShape">
                    <wps:wsp>
                      <wps:cNvSpPr txBox="1"/>
                      <wps:spPr>
                        <a:xfrm>
                          <a:off x="0" y="0"/>
                          <a:ext cx="169545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16A7CA" w14:textId="77777777" w:rsidR="00A75257" w:rsidRPr="00937741" w:rsidRDefault="00A75257" w:rsidP="00A75257">
                            <w:pPr>
                              <w:spacing w:after="0"/>
                              <w:jc w:val="center"/>
                              <w:rPr>
                                <w:rFonts w:eastAsia="Times New Roman" w:hAnsi="Calibri"/>
                                <w:color w:val="000000"/>
                                <w:kern w:val="0"/>
                                <w:sz w:val="20"/>
                                <w:szCs w:val="20"/>
                                <w:lang w:val="en-US"/>
                                <w14:ligatures w14:val="none"/>
                              </w:rPr>
                            </w:pPr>
                            <w:r w:rsidRPr="00937741">
                              <w:rPr>
                                <w:rFonts w:eastAsia="Times New Roman" w:hAnsi="Calibri"/>
                                <w:color w:val="000000"/>
                                <w:sz w:val="20"/>
                                <w:szCs w:val="20"/>
                                <w:lang w:val="en-US"/>
                              </w:rPr>
                              <w:t>____________________</w:t>
                            </w:r>
                            <w:r>
                              <w:rPr>
                                <w:rFonts w:eastAsia="Times New Roman" w:hAnsi="Calibri"/>
                                <w:color w:val="000000"/>
                                <w:sz w:val="20"/>
                                <w:szCs w:val="20"/>
                                <w:lang w:val="en-US"/>
                              </w:rPr>
                              <w:t>__</w:t>
                            </w:r>
                          </w:p>
                          <w:p w14:paraId="202FA0A4"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ELABORÓ</w:t>
                            </w:r>
                          </w:p>
                          <w:p w14:paraId="5E326627"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 xml:space="preserve">I.G.E. Edilberto Hernández </w:t>
                            </w:r>
                            <w:proofErr w:type="spellStart"/>
                            <w:r w:rsidRPr="00937741">
                              <w:rPr>
                                <w:rFonts w:eastAsia="Times New Roman" w:hAnsi="Calibri"/>
                                <w:color w:val="000000"/>
                                <w:sz w:val="14"/>
                                <w:szCs w:val="14"/>
                                <w:lang w:val="en-US"/>
                              </w:rPr>
                              <w:t>Hernández</w:t>
                            </w:r>
                            <w:proofErr w:type="spellEnd"/>
                            <w:r w:rsidRPr="00937741">
                              <w:rPr>
                                <w:rFonts w:eastAsia="Times New Roman" w:hAnsi="Calibri"/>
                                <w:color w:val="000000"/>
                                <w:sz w:val="14"/>
                                <w:szCs w:val="14"/>
                                <w:lang w:val="en-US"/>
                              </w:rPr>
                              <w:t xml:space="preserve"> </w:t>
                            </w:r>
                          </w:p>
                          <w:p w14:paraId="4E85D74F" w14:textId="77777777" w:rsidR="00A75257" w:rsidRPr="00937741" w:rsidRDefault="00A75257" w:rsidP="00A75257">
                            <w:pPr>
                              <w:spacing w:after="0"/>
                              <w:jc w:val="center"/>
                              <w:rPr>
                                <w:rFonts w:eastAsia="Times New Roman" w:hAnsi="Calibri"/>
                                <w:color w:val="000000"/>
                                <w:sz w:val="14"/>
                                <w:szCs w:val="14"/>
                              </w:rPr>
                            </w:pPr>
                            <w:r w:rsidRPr="00937741">
                              <w:rPr>
                                <w:rFonts w:eastAsia="Times New Roman" w:hAnsi="Calibri"/>
                                <w:color w:val="000000"/>
                                <w:sz w:val="14"/>
                                <w:szCs w:val="14"/>
                              </w:rPr>
                              <w:t>Operador de Recursos Financieros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874DB5E" id="_x0000_t202" coordsize="21600,21600" o:spt="202" path="m,l,21600r21600,l21600,xe">
                <v:stroke joinstyle="miter"/>
                <v:path gradientshapeok="t" o:connecttype="rect"/>
              </v:shapetype>
              <v:shape id="Cuadro de texto 1" o:spid="_x0000_s1026" type="#_x0000_t202" style="position:absolute;left:0;text-align:left;margin-left:346.65pt;margin-top:10.8pt;width:133.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" filled="f" stroked="f">
                <v:textbox>
                  <w:txbxContent>
                    <w:p w14:paraId="2016A7CA" w14:textId="77777777" w:rsidR="00A75257" w:rsidRPr="00937741" w:rsidRDefault="00A75257" w:rsidP="00A75257">
                      <w:pPr>
                        <w:spacing w:after="0"/>
                        <w:jc w:val="center"/>
                        <w:rPr>
                          <w:rFonts w:eastAsia="Times New Roman" w:hAnsi="Calibri"/>
                          <w:color w:val="000000"/>
                          <w:kern w:val="0"/>
                          <w:sz w:val="20"/>
                          <w:szCs w:val="20"/>
                          <w:lang w:val="en-US"/>
                          <w14:ligatures w14:val="none"/>
                        </w:rPr>
                      </w:pPr>
                      <w:r w:rsidRPr="00937741">
                        <w:rPr>
                          <w:rFonts w:eastAsia="Times New Roman" w:hAnsi="Calibri"/>
                          <w:color w:val="000000"/>
                          <w:sz w:val="20"/>
                          <w:szCs w:val="20"/>
                          <w:lang w:val="en-US"/>
                        </w:rPr>
                        <w:t>____________________</w:t>
                      </w:r>
                      <w:r>
                        <w:rPr>
                          <w:rFonts w:eastAsia="Times New Roman" w:hAnsi="Calibri"/>
                          <w:color w:val="000000"/>
                          <w:sz w:val="20"/>
                          <w:szCs w:val="20"/>
                          <w:lang w:val="en-US"/>
                        </w:rPr>
                        <w:t>__</w:t>
                      </w:r>
                    </w:p>
                    <w:p w14:paraId="202FA0A4"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ELABORÓ</w:t>
                      </w:r>
                    </w:p>
                    <w:p w14:paraId="5E326627"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 xml:space="preserve">I.G.E. Edilberto Hernández </w:t>
                      </w:r>
                      <w:proofErr w:type="spellStart"/>
                      <w:r w:rsidRPr="00937741">
                        <w:rPr>
                          <w:rFonts w:eastAsia="Times New Roman" w:hAnsi="Calibri"/>
                          <w:color w:val="000000"/>
                          <w:sz w:val="14"/>
                          <w:szCs w:val="14"/>
                          <w:lang w:val="en-US"/>
                        </w:rPr>
                        <w:t>Hernández</w:t>
                      </w:r>
                      <w:proofErr w:type="spellEnd"/>
                      <w:r w:rsidRPr="00937741">
                        <w:rPr>
                          <w:rFonts w:eastAsia="Times New Roman" w:hAnsi="Calibri"/>
                          <w:color w:val="000000"/>
                          <w:sz w:val="14"/>
                          <w:szCs w:val="14"/>
                          <w:lang w:val="en-US"/>
                        </w:rPr>
                        <w:t xml:space="preserve"> </w:t>
                      </w:r>
                    </w:p>
                    <w:p w14:paraId="4E85D74F" w14:textId="77777777" w:rsidR="00A75257" w:rsidRPr="00937741" w:rsidRDefault="00A75257" w:rsidP="00A75257">
                      <w:pPr>
                        <w:spacing w:after="0"/>
                        <w:jc w:val="center"/>
                        <w:rPr>
                          <w:rFonts w:eastAsia="Times New Roman" w:hAnsi="Calibri"/>
                          <w:color w:val="000000"/>
                          <w:sz w:val="14"/>
                          <w:szCs w:val="14"/>
                        </w:rPr>
                      </w:pPr>
                      <w:r w:rsidRPr="00937741">
                        <w:rPr>
                          <w:rFonts w:eastAsia="Times New Roman" w:hAnsi="Calibri"/>
                          <w:color w:val="000000"/>
                          <w:sz w:val="14"/>
                          <w:szCs w:val="14"/>
                        </w:rPr>
                        <w:t>Operador de Recursos Financieros</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434A6F2" wp14:editId="72F53FFE">
                <wp:simplePos x="0" y="0"/>
                <wp:positionH relativeFrom="column">
                  <wp:posOffset>2857500</wp:posOffset>
                </wp:positionH>
                <wp:positionV relativeFrom="paragraph">
                  <wp:posOffset>30480</wp:posOffset>
                </wp:positionV>
                <wp:extent cx="1737360" cy="1066800"/>
                <wp:effectExtent l="0" t="0" r="0" b="0"/>
                <wp:wrapNone/>
                <wp:docPr id="1606803434" name="Cuadro de texto 8"/>
                <wp:cNvGraphicFramePr xmlns:a="http://schemas.openxmlformats.org/drawingml/2006/main"/>
                <a:graphic xmlns:a="http://schemas.openxmlformats.org/drawingml/2006/main">
                  <a:graphicData uri="http://schemas.microsoft.com/office/word/2010/wordprocessingShape">
                    <wps:wsp>
                      <wps:cNvSpPr txBox="1"/>
                      <wps:spPr>
                        <a:xfrm>
                          <a:off x="0" y="0"/>
                          <a:ext cx="173736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EA26C70" w14:textId="77777777" w:rsidR="00A75257" w:rsidRDefault="00A75257" w:rsidP="00A75257">
                            <w:pPr>
                              <w:spacing w:after="0"/>
                              <w:jc w:val="center"/>
                              <w:rPr>
                                <w:rFonts w:eastAsia="Times New Roman" w:hAnsi="Calibri"/>
                                <w:color w:val="000000"/>
                                <w:kern w:val="0"/>
                                <w:lang w:val="en-US"/>
                                <w14:ligatures w14:val="none"/>
                              </w:rPr>
                            </w:pPr>
                            <w:r>
                              <w:rPr>
                                <w:rFonts w:eastAsia="Times New Roman" w:hAnsi="Calibri"/>
                                <w:color w:val="000000"/>
                                <w:lang w:val="en-US"/>
                              </w:rPr>
                              <w:t>_____________________</w:t>
                            </w:r>
                          </w:p>
                          <w:p w14:paraId="3826FAB3"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 xml:space="preserve">REVISÓ </w:t>
                            </w:r>
                          </w:p>
                          <w:p w14:paraId="4A6C822A"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C.P. Armando Lopez Bravo</w:t>
                            </w:r>
                          </w:p>
                          <w:p w14:paraId="3FCA56A1" w14:textId="77777777" w:rsidR="00A75257" w:rsidRDefault="00A75257" w:rsidP="00A75257">
                            <w:pPr>
                              <w:spacing w:after="0"/>
                              <w:jc w:val="center"/>
                              <w:rPr>
                                <w:rFonts w:eastAsia="Times New Roman" w:hAnsi="Calibri"/>
                                <w:color w:val="000000"/>
                                <w:sz w:val="16"/>
                                <w:szCs w:val="16"/>
                                <w:lang w:val="es-ES"/>
                              </w:rPr>
                            </w:pPr>
                            <w:r>
                              <w:rPr>
                                <w:rFonts w:eastAsia="Times New Roman" w:hAnsi="Calibri"/>
                                <w:color w:val="000000"/>
                                <w:sz w:val="16"/>
                                <w:szCs w:val="16"/>
                                <w:lang w:val="es-ES"/>
                              </w:rPr>
                              <w:t>Coordinador de Recursos Financieros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34A6F2" id="Cuadro de texto 8" o:spid="_x0000_s1027" type="#_x0000_t202" style="position:absolute;left:0;text-align:left;margin-left:225pt;margin-top:2.4pt;width:136.8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" filled="f" stroked="f">
                <v:textbox>
                  <w:txbxContent>
                    <w:p w14:paraId="7EA26C70" w14:textId="77777777" w:rsidR="00A75257" w:rsidRDefault="00A75257" w:rsidP="00A75257">
                      <w:pPr>
                        <w:spacing w:after="0"/>
                        <w:jc w:val="center"/>
                        <w:rPr>
                          <w:rFonts w:eastAsia="Times New Roman" w:hAnsi="Calibri"/>
                          <w:color w:val="000000"/>
                          <w:kern w:val="0"/>
                          <w:lang w:val="en-US"/>
                          <w14:ligatures w14:val="none"/>
                        </w:rPr>
                      </w:pPr>
                      <w:r>
                        <w:rPr>
                          <w:rFonts w:eastAsia="Times New Roman" w:hAnsi="Calibri"/>
                          <w:color w:val="000000"/>
                          <w:lang w:val="en-US"/>
                        </w:rPr>
                        <w:t>_____________________</w:t>
                      </w:r>
                    </w:p>
                    <w:p w14:paraId="3826FAB3"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 xml:space="preserve">REVISÓ </w:t>
                      </w:r>
                    </w:p>
                    <w:p w14:paraId="4A6C822A"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C.P. Armando Lopez Bravo</w:t>
                      </w:r>
                    </w:p>
                    <w:p w14:paraId="3FCA56A1" w14:textId="77777777" w:rsidR="00A75257" w:rsidRDefault="00A75257" w:rsidP="00A75257">
                      <w:pPr>
                        <w:spacing w:after="0"/>
                        <w:jc w:val="center"/>
                        <w:rPr>
                          <w:rFonts w:eastAsia="Times New Roman" w:hAnsi="Calibri"/>
                          <w:color w:val="000000"/>
                          <w:sz w:val="16"/>
                          <w:szCs w:val="16"/>
                          <w:lang w:val="es-ES"/>
                        </w:rPr>
                      </w:pPr>
                      <w:r>
                        <w:rPr>
                          <w:rFonts w:eastAsia="Times New Roman" w:hAnsi="Calibri"/>
                          <w:color w:val="000000"/>
                          <w:sz w:val="16"/>
                          <w:szCs w:val="16"/>
                          <w:lang w:val="es-ES"/>
                        </w:rPr>
                        <w:t>Coordinador de Recursos Financieros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A4E850" wp14:editId="62711469">
                <wp:simplePos x="0" y="0"/>
                <wp:positionH relativeFrom="column">
                  <wp:posOffset>1127760</wp:posOffset>
                </wp:positionH>
                <wp:positionV relativeFrom="paragraph">
                  <wp:posOffset>99060</wp:posOffset>
                </wp:positionV>
                <wp:extent cx="1920240" cy="1059180"/>
                <wp:effectExtent l="0" t="0" r="0" b="0"/>
                <wp:wrapNone/>
                <wp:docPr id="2017462589" name="Cuadro de texto 7"/>
                <wp:cNvGraphicFramePr xmlns:a="http://schemas.openxmlformats.org/drawingml/2006/main"/>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780EEDC" w14:textId="77777777" w:rsidR="00A75257" w:rsidRDefault="00A75257" w:rsidP="00A75257">
                            <w:pPr>
                              <w:spacing w:after="0"/>
                              <w:jc w:val="center"/>
                              <w:rPr>
                                <w:rFonts w:eastAsia="Times New Roman" w:hAnsi="Calibri"/>
                                <w:color w:val="000000"/>
                                <w:kern w:val="0"/>
                                <w:lang w:val="en-US"/>
                                <w14:ligatures w14:val="none"/>
                              </w:rPr>
                            </w:pPr>
                            <w:r>
                              <w:rPr>
                                <w:rFonts w:eastAsia="Times New Roman" w:hAnsi="Calibri"/>
                                <w:color w:val="000000"/>
                                <w:lang w:val="en-US"/>
                              </w:rPr>
                              <w:t>_______________________</w:t>
                            </w:r>
                          </w:p>
                          <w:p w14:paraId="4858382D"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 xml:space="preserve">REVISÓ </w:t>
                            </w:r>
                          </w:p>
                          <w:p w14:paraId="7B6FF068"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C.P. Juan Antonio Ornelas Villa</w:t>
                            </w:r>
                          </w:p>
                          <w:p w14:paraId="1066D2B9" w14:textId="77777777" w:rsidR="00A75257" w:rsidRDefault="00A75257" w:rsidP="00A75257">
                            <w:pPr>
                              <w:spacing w:after="0"/>
                              <w:jc w:val="center"/>
                              <w:rPr>
                                <w:rFonts w:eastAsia="Times New Roman" w:hAnsi="Calibri"/>
                                <w:color w:val="000000"/>
                                <w:sz w:val="16"/>
                                <w:szCs w:val="16"/>
                                <w:lang w:val="es-ES"/>
                              </w:rPr>
                            </w:pPr>
                            <w:r>
                              <w:rPr>
                                <w:rFonts w:eastAsia="Times New Roman" w:hAnsi="Calibri"/>
                                <w:color w:val="000000"/>
                                <w:sz w:val="16"/>
                                <w:szCs w:val="16"/>
                                <w:lang w:val="es-ES"/>
                              </w:rPr>
                              <w:t>Director de Control Presupuestal y Contabilidad Gubernamental SICOM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A4E850" id="Cuadro de texto 7" o:spid="_x0000_s1028" type="#_x0000_t202" style="position:absolute;left:0;text-align:left;margin-left:88.8pt;margin-top:7.8pt;width:151.2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" filled="f" stroked="f">
                <v:textbox>
                  <w:txbxContent>
                    <w:p w14:paraId="1780EEDC" w14:textId="77777777" w:rsidR="00A75257" w:rsidRDefault="00A75257" w:rsidP="00A75257">
                      <w:pPr>
                        <w:spacing w:after="0"/>
                        <w:jc w:val="center"/>
                        <w:rPr>
                          <w:rFonts w:eastAsia="Times New Roman" w:hAnsi="Calibri"/>
                          <w:color w:val="000000"/>
                          <w:kern w:val="0"/>
                          <w:lang w:val="en-US"/>
                          <w14:ligatures w14:val="none"/>
                        </w:rPr>
                      </w:pPr>
                      <w:r>
                        <w:rPr>
                          <w:rFonts w:eastAsia="Times New Roman" w:hAnsi="Calibri"/>
                          <w:color w:val="000000"/>
                          <w:lang w:val="en-US"/>
                        </w:rPr>
                        <w:t>_______________________</w:t>
                      </w:r>
                    </w:p>
                    <w:p w14:paraId="4858382D"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 xml:space="preserve">REVISÓ </w:t>
                      </w:r>
                    </w:p>
                    <w:p w14:paraId="7B6FF068" w14:textId="77777777" w:rsidR="00A75257" w:rsidRDefault="00A75257" w:rsidP="00A75257">
                      <w:pPr>
                        <w:spacing w:after="0"/>
                        <w:jc w:val="center"/>
                        <w:rPr>
                          <w:rFonts w:eastAsia="Times New Roman" w:hAnsi="Calibri"/>
                          <w:color w:val="000000"/>
                          <w:sz w:val="16"/>
                          <w:szCs w:val="16"/>
                          <w:lang w:val="en-US"/>
                        </w:rPr>
                      </w:pPr>
                      <w:r>
                        <w:rPr>
                          <w:rFonts w:eastAsia="Times New Roman" w:hAnsi="Calibri"/>
                          <w:color w:val="000000"/>
                          <w:sz w:val="16"/>
                          <w:szCs w:val="16"/>
                          <w:lang w:val="en-US"/>
                        </w:rPr>
                        <w:t>C.P. Juan Antonio Ornelas Villa</w:t>
                      </w:r>
                    </w:p>
                    <w:p w14:paraId="1066D2B9" w14:textId="77777777" w:rsidR="00A75257" w:rsidRDefault="00A75257" w:rsidP="00A75257">
                      <w:pPr>
                        <w:spacing w:after="0"/>
                        <w:jc w:val="center"/>
                        <w:rPr>
                          <w:rFonts w:eastAsia="Times New Roman" w:hAnsi="Calibri"/>
                          <w:color w:val="000000"/>
                          <w:sz w:val="16"/>
                          <w:szCs w:val="16"/>
                          <w:lang w:val="es-ES"/>
                        </w:rPr>
                      </w:pPr>
                      <w:r>
                        <w:rPr>
                          <w:rFonts w:eastAsia="Times New Roman" w:hAnsi="Calibri"/>
                          <w:color w:val="000000"/>
                          <w:sz w:val="16"/>
                          <w:szCs w:val="16"/>
                          <w:lang w:val="es-ES"/>
                        </w:rPr>
                        <w:t>Director de Control Presupuestal y Contabilidad Gubernamental SICOM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728E7B3" wp14:editId="674D728D">
                <wp:simplePos x="0" y="0"/>
                <wp:positionH relativeFrom="column">
                  <wp:posOffset>-502920</wp:posOffset>
                </wp:positionH>
                <wp:positionV relativeFrom="paragraph">
                  <wp:posOffset>137160</wp:posOffset>
                </wp:positionV>
                <wp:extent cx="1805940" cy="952500"/>
                <wp:effectExtent l="0" t="0" r="0" b="0"/>
                <wp:wrapNone/>
                <wp:docPr id="76954972" name="Cuadro de texto 9"/>
                <wp:cNvGraphicFramePr xmlns:a="http://schemas.openxmlformats.org/drawingml/2006/main"/>
                <a:graphic xmlns:a="http://schemas.openxmlformats.org/drawingml/2006/main">
                  <a:graphicData uri="http://schemas.microsoft.com/office/word/2010/wordprocessingShape">
                    <wps:wsp>
                      <wps:cNvSpPr txBox="1"/>
                      <wps:spPr>
                        <a:xfrm>
                          <a:off x="0" y="0"/>
                          <a:ext cx="180594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7A3D04" w14:textId="77777777" w:rsidR="00A75257" w:rsidRPr="00937741" w:rsidRDefault="00A75257" w:rsidP="00A75257">
                            <w:pPr>
                              <w:spacing w:after="0"/>
                              <w:jc w:val="center"/>
                              <w:rPr>
                                <w:rFonts w:eastAsia="Times New Roman" w:hAnsi="Calibri"/>
                                <w:color w:val="000000"/>
                                <w:kern w:val="0"/>
                                <w:sz w:val="20"/>
                                <w:szCs w:val="20"/>
                                <w:lang w:val="en-US"/>
                                <w14:ligatures w14:val="none"/>
                              </w:rPr>
                            </w:pPr>
                            <w:r w:rsidRPr="00937741">
                              <w:rPr>
                                <w:rFonts w:eastAsia="Times New Roman" w:hAnsi="Calibri"/>
                                <w:color w:val="000000"/>
                                <w:sz w:val="20"/>
                                <w:szCs w:val="20"/>
                                <w:lang w:val="en-US"/>
                              </w:rPr>
                              <w:t>_____________________</w:t>
                            </w:r>
                            <w:r>
                              <w:rPr>
                                <w:rFonts w:eastAsia="Times New Roman" w:hAnsi="Calibri"/>
                                <w:color w:val="000000"/>
                                <w:sz w:val="20"/>
                                <w:szCs w:val="20"/>
                                <w:lang w:val="en-US"/>
                              </w:rPr>
                              <w:t>___</w:t>
                            </w:r>
                          </w:p>
                          <w:p w14:paraId="1083A5E3"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AUTORIZÓ</w:t>
                            </w:r>
                          </w:p>
                          <w:p w14:paraId="257FAA71"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C.P. Luis Enrique Ramos Pérez</w:t>
                            </w:r>
                          </w:p>
                          <w:p w14:paraId="2DBA74A3" w14:textId="77777777" w:rsidR="00A75257" w:rsidRDefault="00A75257" w:rsidP="00A75257">
                            <w:pPr>
                              <w:spacing w:after="0"/>
                              <w:jc w:val="center"/>
                              <w:rPr>
                                <w:rFonts w:eastAsia="Times New Roman" w:hAnsi="Calibri"/>
                                <w:color w:val="000000"/>
                                <w:sz w:val="16"/>
                                <w:szCs w:val="16"/>
                                <w:lang w:val="en-US"/>
                              </w:rPr>
                            </w:pPr>
                            <w:r w:rsidRPr="00937741">
                              <w:rPr>
                                <w:rFonts w:eastAsia="Times New Roman" w:hAnsi="Calibri"/>
                                <w:color w:val="000000"/>
                                <w:sz w:val="14"/>
                                <w:szCs w:val="14"/>
                                <w:lang w:val="en-US"/>
                              </w:rPr>
                              <w:t xml:space="preserve">Director General de </w:t>
                            </w:r>
                            <w:proofErr w:type="spellStart"/>
                            <w:r w:rsidRPr="00937741">
                              <w:rPr>
                                <w:rFonts w:eastAsia="Times New Roman" w:hAnsi="Calibri"/>
                                <w:color w:val="000000"/>
                                <w:sz w:val="14"/>
                                <w:szCs w:val="14"/>
                                <w:lang w:val="en-US"/>
                              </w:rPr>
                              <w:t>Administración</w:t>
                            </w:r>
                            <w:proofErr w:type="spellEnd"/>
                            <w:r w:rsidRPr="00937741">
                              <w:rPr>
                                <w:rFonts w:eastAsia="Times New Roman" w:hAnsi="Calibri"/>
                                <w:color w:val="000000"/>
                                <w:sz w:val="14"/>
                                <w:szCs w:val="14"/>
                                <w:lang w:val="en-US"/>
                              </w:rPr>
                              <w:t xml:space="preserve"> </w:t>
                            </w:r>
                            <w:r>
                              <w:rPr>
                                <w:rFonts w:eastAsia="Times New Roman" w:hAnsi="Calibri"/>
                                <w:color w:val="000000"/>
                                <w:sz w:val="16"/>
                                <w:szCs w:val="16"/>
                                <w:lang w:val="en-US"/>
                              </w:rPr>
                              <w:t xml:space="preserve">e </w:t>
                            </w:r>
                            <w:proofErr w:type="spellStart"/>
                            <w:r>
                              <w:rPr>
                                <w:rFonts w:eastAsia="Times New Roman" w:hAnsi="Calibri"/>
                                <w:color w:val="000000"/>
                                <w:sz w:val="16"/>
                                <w:szCs w:val="16"/>
                                <w:lang w:val="en-US"/>
                              </w:rPr>
                              <w:t>Inversión</w:t>
                            </w:r>
                            <w:proofErr w:type="spellEnd"/>
                            <w:r>
                              <w:rPr>
                                <w:rFonts w:eastAsia="Times New Roman" w:hAnsi="Calibri"/>
                                <w:color w:val="000000"/>
                                <w:sz w:val="16"/>
                                <w:szCs w:val="16"/>
                                <w:lang w:val="en-US"/>
                              </w:rPr>
                              <w:t xml:space="preserve"> SICOM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28E7B3" id="Cuadro de texto 9" o:spid="_x0000_s1029" type="#_x0000_t202" style="position:absolute;left:0;text-align:left;margin-left:-39.6pt;margin-top:10.8pt;width:142.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" filled="f" stroked="f">
                <v:textbox>
                  <w:txbxContent>
                    <w:p w14:paraId="747A3D04" w14:textId="77777777" w:rsidR="00A75257" w:rsidRPr="00937741" w:rsidRDefault="00A75257" w:rsidP="00A75257">
                      <w:pPr>
                        <w:spacing w:after="0"/>
                        <w:jc w:val="center"/>
                        <w:rPr>
                          <w:rFonts w:eastAsia="Times New Roman" w:hAnsi="Calibri"/>
                          <w:color w:val="000000"/>
                          <w:kern w:val="0"/>
                          <w:sz w:val="20"/>
                          <w:szCs w:val="20"/>
                          <w:lang w:val="en-US"/>
                          <w14:ligatures w14:val="none"/>
                        </w:rPr>
                      </w:pPr>
                      <w:r w:rsidRPr="00937741">
                        <w:rPr>
                          <w:rFonts w:eastAsia="Times New Roman" w:hAnsi="Calibri"/>
                          <w:color w:val="000000"/>
                          <w:sz w:val="20"/>
                          <w:szCs w:val="20"/>
                          <w:lang w:val="en-US"/>
                        </w:rPr>
                        <w:t>_____________________</w:t>
                      </w:r>
                      <w:r>
                        <w:rPr>
                          <w:rFonts w:eastAsia="Times New Roman" w:hAnsi="Calibri"/>
                          <w:color w:val="000000"/>
                          <w:sz w:val="20"/>
                          <w:szCs w:val="20"/>
                          <w:lang w:val="en-US"/>
                        </w:rPr>
                        <w:t>___</w:t>
                      </w:r>
                    </w:p>
                    <w:p w14:paraId="1083A5E3"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AUTORIZÓ</w:t>
                      </w:r>
                    </w:p>
                    <w:p w14:paraId="257FAA71" w14:textId="77777777" w:rsidR="00A75257" w:rsidRPr="00937741" w:rsidRDefault="00A75257" w:rsidP="00A75257">
                      <w:pPr>
                        <w:spacing w:after="0"/>
                        <w:jc w:val="center"/>
                        <w:rPr>
                          <w:rFonts w:eastAsia="Times New Roman" w:hAnsi="Calibri"/>
                          <w:color w:val="000000"/>
                          <w:sz w:val="14"/>
                          <w:szCs w:val="14"/>
                          <w:lang w:val="en-US"/>
                        </w:rPr>
                      </w:pPr>
                      <w:r w:rsidRPr="00937741">
                        <w:rPr>
                          <w:rFonts w:eastAsia="Times New Roman" w:hAnsi="Calibri"/>
                          <w:color w:val="000000"/>
                          <w:sz w:val="14"/>
                          <w:szCs w:val="14"/>
                          <w:lang w:val="en-US"/>
                        </w:rPr>
                        <w:t>C.P. Luis Enrique Ramos Pérez</w:t>
                      </w:r>
                    </w:p>
                    <w:p w14:paraId="2DBA74A3" w14:textId="77777777" w:rsidR="00A75257" w:rsidRDefault="00A75257" w:rsidP="00A75257">
                      <w:pPr>
                        <w:spacing w:after="0"/>
                        <w:jc w:val="center"/>
                        <w:rPr>
                          <w:rFonts w:eastAsia="Times New Roman" w:hAnsi="Calibri"/>
                          <w:color w:val="000000"/>
                          <w:sz w:val="16"/>
                          <w:szCs w:val="16"/>
                          <w:lang w:val="en-US"/>
                        </w:rPr>
                      </w:pPr>
                      <w:r w:rsidRPr="00937741">
                        <w:rPr>
                          <w:rFonts w:eastAsia="Times New Roman" w:hAnsi="Calibri"/>
                          <w:color w:val="000000"/>
                          <w:sz w:val="14"/>
                          <w:szCs w:val="14"/>
                          <w:lang w:val="en-US"/>
                        </w:rPr>
                        <w:t xml:space="preserve">Director General de </w:t>
                      </w:r>
                      <w:proofErr w:type="spellStart"/>
                      <w:r w:rsidRPr="00937741">
                        <w:rPr>
                          <w:rFonts w:eastAsia="Times New Roman" w:hAnsi="Calibri"/>
                          <w:color w:val="000000"/>
                          <w:sz w:val="14"/>
                          <w:szCs w:val="14"/>
                          <w:lang w:val="en-US"/>
                        </w:rPr>
                        <w:t>Administración</w:t>
                      </w:r>
                      <w:proofErr w:type="spellEnd"/>
                      <w:r w:rsidRPr="00937741">
                        <w:rPr>
                          <w:rFonts w:eastAsia="Times New Roman" w:hAnsi="Calibri"/>
                          <w:color w:val="000000"/>
                          <w:sz w:val="14"/>
                          <w:szCs w:val="14"/>
                          <w:lang w:val="en-US"/>
                        </w:rPr>
                        <w:t xml:space="preserve"> </w:t>
                      </w:r>
                      <w:r>
                        <w:rPr>
                          <w:rFonts w:eastAsia="Times New Roman" w:hAnsi="Calibri"/>
                          <w:color w:val="000000"/>
                          <w:sz w:val="16"/>
                          <w:szCs w:val="16"/>
                          <w:lang w:val="en-US"/>
                        </w:rPr>
                        <w:t xml:space="preserve">e </w:t>
                      </w:r>
                      <w:proofErr w:type="spellStart"/>
                      <w:r>
                        <w:rPr>
                          <w:rFonts w:eastAsia="Times New Roman" w:hAnsi="Calibri"/>
                          <w:color w:val="000000"/>
                          <w:sz w:val="16"/>
                          <w:szCs w:val="16"/>
                          <w:lang w:val="en-US"/>
                        </w:rPr>
                        <w:t>Inversión</w:t>
                      </w:r>
                      <w:proofErr w:type="spellEnd"/>
                      <w:r>
                        <w:rPr>
                          <w:rFonts w:eastAsia="Times New Roman" w:hAnsi="Calibri"/>
                          <w:color w:val="000000"/>
                          <w:sz w:val="16"/>
                          <w:szCs w:val="16"/>
                          <w:lang w:val="en-US"/>
                        </w:rPr>
                        <w:t xml:space="preserve"> SICOM</w:t>
                      </w:r>
                    </w:p>
                  </w:txbxContent>
                </v:textbox>
              </v:shape>
            </w:pict>
          </mc:Fallback>
        </mc:AlternateContent>
      </w:r>
    </w:p>
    <w:p w14:paraId="0F450C69" w14:textId="77777777" w:rsidR="00A75257" w:rsidRDefault="00A75257" w:rsidP="00A75257">
      <w:pPr>
        <w:tabs>
          <w:tab w:val="left" w:pos="2025"/>
        </w:tabs>
        <w:jc w:val="center"/>
      </w:pPr>
    </w:p>
    <w:p w14:paraId="66F9D6A2" w14:textId="77777777" w:rsidR="00A75257" w:rsidRDefault="00A75257" w:rsidP="00A75257">
      <w:pPr>
        <w:tabs>
          <w:tab w:val="left" w:pos="2025"/>
        </w:tabs>
        <w:jc w:val="center"/>
      </w:pPr>
    </w:p>
    <w:p w14:paraId="19ABF16D" w14:textId="77777777" w:rsidR="00A75257" w:rsidRDefault="00A75257" w:rsidP="00A75257">
      <w:pPr>
        <w:tabs>
          <w:tab w:val="left" w:pos="2025"/>
        </w:tabs>
        <w:jc w:val="center"/>
      </w:pPr>
    </w:p>
    <w:p w14:paraId="74599DA3" w14:textId="77777777" w:rsidR="00A75257" w:rsidRDefault="00A75257" w:rsidP="00A75257">
      <w:pPr>
        <w:tabs>
          <w:tab w:val="left" w:pos="2025"/>
        </w:tabs>
        <w:jc w:val="center"/>
      </w:pPr>
    </w:p>
    <w:p w14:paraId="2D017B84" w14:textId="77777777" w:rsidR="00A75257" w:rsidRPr="00826854" w:rsidRDefault="00A75257" w:rsidP="00A75257">
      <w:pPr>
        <w:tabs>
          <w:tab w:val="left" w:pos="2025"/>
        </w:tabs>
        <w:jc w:val="center"/>
      </w:pPr>
    </w:p>
    <w:p w14:paraId="06AD4B49" w14:textId="77777777" w:rsidR="00F3135D" w:rsidRDefault="00F3135D"/>
    <w:sectPr w:rsidR="00F313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57"/>
    <w:rsid w:val="00714AA2"/>
    <w:rsid w:val="00A75257"/>
    <w:rsid w:val="00F31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2E2B"/>
  <w15:chartTrackingRefBased/>
  <w15:docId w15:val="{B5320F1E-DFF4-40A7-9F84-34DF5BF9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257"/>
  </w:style>
  <w:style w:type="paragraph" w:styleId="Ttulo2">
    <w:name w:val="heading 2"/>
    <w:basedOn w:val="Normal"/>
    <w:next w:val="Normal"/>
    <w:link w:val="Ttulo2Car"/>
    <w:uiPriority w:val="9"/>
    <w:unhideWhenUsed/>
    <w:qFormat/>
    <w:rsid w:val="00A75257"/>
    <w:pPr>
      <w:keepNext/>
      <w:keepLines/>
      <w:spacing w:before="40" w:after="0" w:line="276" w:lineRule="auto"/>
      <w:outlineLvl w:val="1"/>
    </w:pPr>
    <w:rPr>
      <w:rFonts w:ascii="Calibri Light" w:eastAsia="Times New Roman" w:hAnsi="Calibri Light" w:cs="Times New Roman"/>
      <w:color w:val="2E74B5"/>
      <w:kern w:val="0"/>
      <w:sz w:val="26"/>
      <w:szCs w:val="2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5257"/>
    <w:rPr>
      <w:rFonts w:ascii="Calibri Light" w:eastAsia="Times New Roman" w:hAnsi="Calibri Light" w:cs="Times New Roman"/>
      <w:color w:val="2E74B5"/>
      <w:kern w:val="0"/>
      <w:sz w:val="26"/>
      <w:szCs w:val="26"/>
      <w14:ligatures w14:val="none"/>
    </w:rPr>
  </w:style>
  <w:style w:type="character" w:styleId="Hipervnculo">
    <w:name w:val="Hyperlink"/>
    <w:uiPriority w:val="99"/>
    <w:unhideWhenUsed/>
    <w:rsid w:val="00A75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4232</Words>
  <Characters>23280</Characters>
  <Application>Microsoft Office Word</Application>
  <DocSecurity>0</DocSecurity>
  <Lines>194</Lines>
  <Paragraphs>54</Paragraphs>
  <ScaleCrop>false</ScaleCrop>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Edilberto Hernandez Hernandez</dc:creator>
  <cp:keywords/>
  <dc:description/>
  <cp:lastModifiedBy>Edilberto Hernandez Hernandez</cp:lastModifiedBy>
  <cp:revision>2</cp:revision>
  <dcterms:created xsi:type="dcterms:W3CDTF">2024-01-29T16:26:00Z</dcterms:created>
  <dcterms:modified xsi:type="dcterms:W3CDTF">2024-01-29T16:27:00Z</dcterms:modified>
</cp:coreProperties>
</file>