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612AF1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062CD">
              <w:rPr>
                <w:noProof/>
                <w:webHidden/>
              </w:rPr>
              <w:t>2</w:t>
            </w:r>
            <w:r w:rsidR="005F51CC">
              <w:rPr>
                <w:noProof/>
                <w:webHidden/>
              </w:rPr>
              <w:fldChar w:fldCharType="end"/>
            </w:r>
          </w:hyperlink>
        </w:p>
        <w:p w14:paraId="6A6756CA" w14:textId="5455DB8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sidR="00606C11">
              <w:rPr>
                <w:noProof/>
                <w:webHidden/>
              </w:rPr>
              <w:t>5</w:t>
            </w:r>
          </w:hyperlink>
        </w:p>
        <w:p w14:paraId="19796F35" w14:textId="6BD06A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sidR="00606C11">
              <w:rPr>
                <w:noProof/>
                <w:webHidden/>
              </w:rPr>
              <w:t>5</w:t>
            </w:r>
          </w:hyperlink>
        </w:p>
        <w:p w14:paraId="62AC0657" w14:textId="566F03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sidR="00606C11">
              <w:rPr>
                <w:noProof/>
                <w:webHidden/>
              </w:rPr>
              <w:t>6</w:t>
            </w:r>
          </w:hyperlink>
        </w:p>
        <w:p w14:paraId="7C7C1962" w14:textId="6AF8D36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sidR="00606C11">
              <w:rPr>
                <w:noProof/>
                <w:webHidden/>
              </w:rPr>
              <w:t>7</w:t>
            </w:r>
          </w:hyperlink>
        </w:p>
        <w:p w14:paraId="3FE6C661" w14:textId="3FD1A55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sidR="00606C11">
              <w:rPr>
                <w:noProof/>
                <w:webHidden/>
              </w:rPr>
              <w:t>8</w:t>
            </w:r>
          </w:hyperlink>
        </w:p>
        <w:p w14:paraId="135541CC" w14:textId="012D16A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062CD">
              <w:rPr>
                <w:noProof/>
                <w:webHidden/>
              </w:rPr>
              <w:t>9</w:t>
            </w:r>
            <w:r>
              <w:rPr>
                <w:noProof/>
                <w:webHidden/>
              </w:rPr>
              <w:fldChar w:fldCharType="end"/>
            </w:r>
          </w:hyperlink>
        </w:p>
        <w:p w14:paraId="48C9D852" w14:textId="23C01E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062CD">
              <w:rPr>
                <w:noProof/>
                <w:webHidden/>
              </w:rPr>
              <w:t>10</w:t>
            </w:r>
            <w:r>
              <w:rPr>
                <w:noProof/>
                <w:webHidden/>
              </w:rPr>
              <w:fldChar w:fldCharType="end"/>
            </w:r>
          </w:hyperlink>
        </w:p>
        <w:p w14:paraId="027C97E3" w14:textId="5F3780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062CD">
              <w:rPr>
                <w:noProof/>
                <w:webHidden/>
              </w:rPr>
              <w:t>10</w:t>
            </w:r>
            <w:r>
              <w:rPr>
                <w:noProof/>
                <w:webHidden/>
              </w:rPr>
              <w:fldChar w:fldCharType="end"/>
            </w:r>
          </w:hyperlink>
        </w:p>
        <w:p w14:paraId="00DB87A1" w14:textId="6EECF65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sidR="00606C11">
              <w:rPr>
                <w:noProof/>
                <w:webHidden/>
              </w:rPr>
              <w:t>10</w:t>
            </w:r>
          </w:hyperlink>
        </w:p>
        <w:p w14:paraId="00EEECC2" w14:textId="180B588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sidR="00606C11">
              <w:rPr>
                <w:noProof/>
                <w:webHidden/>
              </w:rPr>
              <w:t>11</w:t>
            </w:r>
          </w:hyperlink>
        </w:p>
        <w:p w14:paraId="68FD7A9A" w14:textId="3AE7933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sidR="00606C11">
              <w:rPr>
                <w:noProof/>
                <w:webHidden/>
              </w:rPr>
              <w:t>11</w:t>
            </w:r>
          </w:hyperlink>
        </w:p>
        <w:p w14:paraId="5F55527F" w14:textId="194FA58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062CD">
              <w:rPr>
                <w:noProof/>
                <w:webHidden/>
              </w:rPr>
              <w:t>12</w:t>
            </w:r>
            <w:r>
              <w:rPr>
                <w:noProof/>
                <w:webHidden/>
              </w:rPr>
              <w:fldChar w:fldCharType="end"/>
            </w:r>
          </w:hyperlink>
        </w:p>
        <w:p w14:paraId="674ABB69" w14:textId="17506FE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062CD">
              <w:rPr>
                <w:noProof/>
                <w:webHidden/>
              </w:rPr>
              <w:t>12</w:t>
            </w:r>
            <w:r>
              <w:rPr>
                <w:noProof/>
                <w:webHidden/>
              </w:rPr>
              <w:fldChar w:fldCharType="end"/>
            </w:r>
          </w:hyperlink>
        </w:p>
        <w:p w14:paraId="39048CDA" w14:textId="6831B6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062CD">
              <w:rPr>
                <w:noProof/>
                <w:webHidden/>
              </w:rPr>
              <w:t>13</w:t>
            </w:r>
            <w:r>
              <w:rPr>
                <w:noProof/>
                <w:webHidden/>
              </w:rPr>
              <w:fldChar w:fldCharType="end"/>
            </w:r>
          </w:hyperlink>
        </w:p>
        <w:p w14:paraId="7E9C5BA3" w14:textId="54E77FE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062C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1D932F2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283E53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8FC91B3" w14:textId="77777777" w:rsidR="00B57AF7" w:rsidRPr="004E151F"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5C6E2E08" w14:textId="77777777" w:rsidR="00B57AF7" w:rsidRPr="00FA379D"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09E8D6FB" w14:textId="77777777" w:rsidR="00B57AF7" w:rsidRPr="00FA379D" w:rsidRDefault="00B57AF7" w:rsidP="00B57AF7">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448C0824"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7C1EB8A5" wp14:editId="419E8542">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4B212651" w14:textId="4E40552B" w:rsidR="00B57AF7" w:rsidRDefault="00B57AF7" w:rsidP="00B57AF7">
      <w:pPr>
        <w:tabs>
          <w:tab w:val="left" w:leader="underscore" w:pos="9639"/>
        </w:tabs>
        <w:jc w:val="both"/>
        <w:rPr>
          <w:rFonts w:ascii="Arial" w:hAnsi="Arial" w:cs="Arial"/>
          <w:i/>
          <w:iCs/>
          <w:sz w:val="20"/>
          <w:szCs w:val="20"/>
        </w:rPr>
      </w:pPr>
      <w:r w:rsidRPr="00FA379D">
        <w:rPr>
          <w:rFonts w:ascii="Arial" w:hAnsi="Arial" w:cs="Arial"/>
          <w:bCs/>
          <w:sz w:val="20"/>
          <w:szCs w:val="20"/>
        </w:rPr>
        <w:t>Por lo tanto, al</w:t>
      </w:r>
      <w:r>
        <w:rPr>
          <w:rFonts w:ascii="Arial" w:hAnsi="Arial" w:cs="Arial"/>
          <w:bCs/>
          <w:sz w:val="20"/>
          <w:szCs w:val="20"/>
        </w:rPr>
        <w:t xml:space="preserve"> </w:t>
      </w:r>
      <w:r w:rsidR="00643374">
        <w:rPr>
          <w:rFonts w:ascii="Arial" w:hAnsi="Arial" w:cs="Arial"/>
          <w:bCs/>
          <w:sz w:val="20"/>
          <w:szCs w:val="20"/>
        </w:rPr>
        <w:t>3er</w:t>
      </w:r>
      <w:r w:rsidRPr="00FA379D">
        <w:rPr>
          <w:rFonts w:ascii="Arial" w:hAnsi="Arial" w:cs="Arial"/>
          <w:bCs/>
          <w:sz w:val="20"/>
          <w:szCs w:val="20"/>
        </w:rPr>
        <w:t>. trimestre 202</w:t>
      </w:r>
      <w:r w:rsidR="00643374">
        <w:rPr>
          <w:rFonts w:ascii="Arial" w:hAnsi="Arial" w:cs="Arial"/>
          <w:bCs/>
          <w:sz w:val="20"/>
          <w:szCs w:val="20"/>
        </w:rPr>
        <w:t>4</w:t>
      </w:r>
      <w:r w:rsidRPr="00FA379D">
        <w:rPr>
          <w:rFonts w:ascii="Arial" w:hAnsi="Arial" w:cs="Arial"/>
          <w:bCs/>
          <w:sz w:val="20"/>
          <w:szCs w:val="20"/>
        </w:rPr>
        <w:t xml:space="preserve"> (</w:t>
      </w:r>
      <w:r>
        <w:rPr>
          <w:rFonts w:ascii="Arial" w:hAnsi="Arial" w:cs="Arial"/>
          <w:bCs/>
          <w:sz w:val="20"/>
          <w:szCs w:val="20"/>
        </w:rPr>
        <w:t>3</w:t>
      </w:r>
      <w:r w:rsidR="00643374">
        <w:rPr>
          <w:rFonts w:ascii="Arial" w:hAnsi="Arial" w:cs="Arial"/>
          <w:bCs/>
          <w:sz w:val="20"/>
          <w:szCs w:val="20"/>
        </w:rPr>
        <w:t>0</w:t>
      </w:r>
      <w:r>
        <w:rPr>
          <w:rFonts w:ascii="Arial" w:hAnsi="Arial" w:cs="Arial"/>
          <w:bCs/>
          <w:sz w:val="20"/>
          <w:szCs w:val="20"/>
        </w:rPr>
        <w:t xml:space="preserve"> de </w:t>
      </w:r>
      <w:r w:rsidR="00643374">
        <w:rPr>
          <w:rFonts w:ascii="Arial" w:hAnsi="Arial" w:cs="Arial"/>
          <w:bCs/>
          <w:sz w:val="20"/>
          <w:szCs w:val="20"/>
        </w:rPr>
        <w:t>Septiembre</w:t>
      </w:r>
      <w:r>
        <w:rPr>
          <w:rFonts w:ascii="Arial" w:hAnsi="Arial" w:cs="Arial"/>
          <w:bCs/>
          <w:sz w:val="20"/>
          <w:szCs w:val="20"/>
        </w:rPr>
        <w:t xml:space="preserve"> de 202</w:t>
      </w:r>
      <w:r w:rsidR="00643374">
        <w:rPr>
          <w:rFonts w:ascii="Arial" w:hAnsi="Arial" w:cs="Arial"/>
          <w:bCs/>
          <w:sz w:val="20"/>
          <w:szCs w:val="20"/>
        </w:rPr>
        <w:t>4</w:t>
      </w:r>
      <w:r w:rsidRPr="00FA379D">
        <w:rPr>
          <w:rFonts w:ascii="Arial" w:hAnsi="Arial" w:cs="Arial"/>
          <w:bCs/>
          <w:sz w:val="20"/>
          <w:szCs w:val="20"/>
        </w:rPr>
        <w:t xml:space="preserve">), el Instituto de Infraestructura </w:t>
      </w:r>
      <w:r w:rsidR="00643374" w:rsidRPr="00FA379D">
        <w:rPr>
          <w:rFonts w:ascii="Arial" w:hAnsi="Arial" w:cs="Arial"/>
          <w:bCs/>
          <w:sz w:val="20"/>
          <w:szCs w:val="20"/>
        </w:rPr>
        <w:t>Física</w:t>
      </w:r>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w:t>
      </w:r>
      <w:r w:rsidR="00DB3F4E">
        <w:rPr>
          <w:rFonts w:ascii="Arial" w:hAnsi="Arial" w:cs="Arial"/>
          <w:i/>
          <w:iCs/>
          <w:sz w:val="20"/>
          <w:szCs w:val="20"/>
        </w:rPr>
        <w:t xml:space="preserve"> </w:t>
      </w:r>
      <w:r w:rsidRPr="00FA379D">
        <w:rPr>
          <w:rFonts w:ascii="Arial" w:hAnsi="Arial" w:cs="Arial"/>
          <w:i/>
          <w:iCs/>
          <w:sz w:val="20"/>
          <w:szCs w:val="20"/>
        </w:rPr>
        <w:t>DE GUANAJUATO, que el INIFEG ha sido LIQUIDADO.</w:t>
      </w:r>
    </w:p>
    <w:p w14:paraId="2A4CA81B" w14:textId="77777777" w:rsidR="00DB3F4E" w:rsidRPr="004E151F" w:rsidRDefault="00DB3F4E" w:rsidP="00B57AF7">
      <w:pPr>
        <w:tabs>
          <w:tab w:val="left" w:leader="underscore" w:pos="9639"/>
        </w:tabs>
        <w:jc w:val="both"/>
        <w:rPr>
          <w:rFonts w:ascii="Arial" w:hAnsi="Arial" w:cs="Arial"/>
          <w:sz w:val="20"/>
          <w:szCs w:val="20"/>
        </w:rPr>
      </w:pPr>
    </w:p>
    <w:bookmarkEnd w:id="1"/>
    <w:p w14:paraId="51C7D814" w14:textId="77777777" w:rsidR="00B57AF7" w:rsidRPr="00E74967" w:rsidRDefault="00B57AF7" w:rsidP="00B57AF7">
      <w:pPr>
        <w:tabs>
          <w:tab w:val="left" w:leader="underscore" w:pos="9639"/>
        </w:tabs>
        <w:spacing w:after="0" w:line="240" w:lineRule="auto"/>
        <w:jc w:val="both"/>
        <w:rPr>
          <w:rFonts w:cs="Calibri"/>
        </w:rPr>
      </w:pPr>
      <w:r w:rsidRPr="00E74967">
        <w:rPr>
          <w:rFonts w:cs="Calibri"/>
        </w:rPr>
        <w:lastRenderedPageBreak/>
        <w:t>Se informará sobre:</w:t>
      </w:r>
    </w:p>
    <w:p w14:paraId="7AB94B42" w14:textId="77777777" w:rsidR="00B57AF7" w:rsidRPr="00E74967" w:rsidRDefault="00B57AF7" w:rsidP="00B57AF7">
      <w:pPr>
        <w:tabs>
          <w:tab w:val="left" w:leader="underscore" w:pos="9639"/>
        </w:tabs>
        <w:spacing w:after="0" w:line="240" w:lineRule="auto"/>
        <w:jc w:val="both"/>
        <w:rPr>
          <w:rFonts w:cs="Calibri"/>
        </w:rPr>
      </w:pPr>
    </w:p>
    <w:p w14:paraId="31891492" w14:textId="77777777" w:rsidR="00B57AF7" w:rsidRPr="00065CDB" w:rsidRDefault="00B57AF7" w:rsidP="00B57AF7">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72E6E69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1F297950" w14:textId="77777777" w:rsidR="00B57AF7" w:rsidRPr="00FA379D" w:rsidRDefault="00B57AF7" w:rsidP="00B57AF7">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151FC41D"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7EB33C09" w14:textId="77777777" w:rsidR="00B57AF7" w:rsidRPr="00FA379D" w:rsidRDefault="00B57AF7" w:rsidP="00B57AF7">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3D132B9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37D1A1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115F18C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2013</w:t>
      </w:r>
    </w:p>
    <w:p w14:paraId="0846997C"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177AE1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603AC7B8" w14:textId="77777777" w:rsidR="00B57AF7" w:rsidRPr="00FA379D" w:rsidRDefault="00B57AF7" w:rsidP="00B57AF7">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A0CD0A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8ACBB2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4595B5D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1B6EDD8B" w14:textId="77777777" w:rsidR="00B57AF7" w:rsidRPr="00FA379D" w:rsidRDefault="00B57AF7" w:rsidP="00B57AF7">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735D373" w14:textId="77777777" w:rsidR="00B57AF7" w:rsidRPr="00FA379D" w:rsidRDefault="00B57AF7" w:rsidP="00B57AF7">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76A3D82C" w14:textId="77777777" w:rsidR="00DB3F4E" w:rsidRDefault="00DB3F4E" w:rsidP="00B57AF7">
      <w:pPr>
        <w:tabs>
          <w:tab w:val="left" w:leader="underscore" w:pos="9639"/>
        </w:tabs>
        <w:jc w:val="both"/>
        <w:rPr>
          <w:rFonts w:ascii="Arial" w:hAnsi="Arial" w:cs="Arial"/>
          <w:b/>
          <w:bCs/>
          <w:sz w:val="20"/>
          <w:szCs w:val="20"/>
        </w:rPr>
      </w:pPr>
    </w:p>
    <w:p w14:paraId="36FD8DDD" w14:textId="1B4D1178" w:rsidR="00B57AF7" w:rsidRPr="00FA379D" w:rsidRDefault="00B57AF7" w:rsidP="00B57AF7">
      <w:pPr>
        <w:tabs>
          <w:tab w:val="left" w:leader="underscore" w:pos="9639"/>
        </w:tabs>
        <w:jc w:val="both"/>
        <w:rPr>
          <w:rFonts w:ascii="Arial" w:hAnsi="Arial" w:cs="Arial"/>
          <w:b/>
          <w:bCs/>
          <w:sz w:val="20"/>
          <w:szCs w:val="20"/>
        </w:rPr>
      </w:pPr>
      <w:r w:rsidRPr="00FA379D">
        <w:rPr>
          <w:rFonts w:ascii="Arial" w:hAnsi="Arial" w:cs="Arial"/>
          <w:b/>
          <w:bCs/>
          <w:sz w:val="20"/>
          <w:szCs w:val="20"/>
        </w:rPr>
        <w:lastRenderedPageBreak/>
        <w:t>2015</w:t>
      </w:r>
    </w:p>
    <w:p w14:paraId="38381BC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5B8E2F27"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78B3DC2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711E770"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74E885B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175F532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3F065264"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7093A1E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6AB68051"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76659131"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318008FA" w14:textId="77777777" w:rsidR="00B57AF7" w:rsidRPr="00FA379D" w:rsidRDefault="00B57AF7" w:rsidP="00B57AF7">
      <w:pPr>
        <w:tabs>
          <w:tab w:val="left" w:leader="underscore" w:pos="9639"/>
        </w:tabs>
        <w:jc w:val="both"/>
        <w:rPr>
          <w:rFonts w:ascii="Arial" w:hAnsi="Arial" w:cs="Arial"/>
          <w:bCs/>
          <w:sz w:val="20"/>
          <w:szCs w:val="20"/>
        </w:rPr>
      </w:pPr>
    </w:p>
    <w:bookmarkEnd w:id="14"/>
    <w:p w14:paraId="17E5222F"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C5D23DD"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1B161ED8" w14:textId="77777777" w:rsidR="00DB3F4E" w:rsidRDefault="00DB3F4E" w:rsidP="00B57AF7">
      <w:pPr>
        <w:tabs>
          <w:tab w:val="left" w:leader="underscore" w:pos="9639"/>
        </w:tabs>
        <w:jc w:val="both"/>
        <w:rPr>
          <w:rFonts w:ascii="Arial" w:hAnsi="Arial" w:cs="Arial"/>
          <w:b/>
          <w:sz w:val="20"/>
          <w:szCs w:val="20"/>
        </w:rPr>
      </w:pPr>
    </w:p>
    <w:p w14:paraId="2C35B75E" w14:textId="06A8F6F1"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2019</w:t>
      </w:r>
    </w:p>
    <w:p w14:paraId="23C8621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59672CF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66351D87"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EBAB26A"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7B5B5556"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79E5B35C"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AC1B375" w14:textId="77777777" w:rsidR="00B57AF7" w:rsidRDefault="00B57AF7" w:rsidP="00516A8F">
      <w:pPr>
        <w:tabs>
          <w:tab w:val="left" w:leader="underscore" w:pos="9639"/>
        </w:tabs>
        <w:spacing w:after="0" w:line="240" w:lineRule="auto"/>
        <w:jc w:val="both"/>
        <w:rPr>
          <w:rFonts w:cs="Calibri"/>
        </w:rPr>
      </w:pPr>
    </w:p>
    <w:p w14:paraId="56201E2B" w14:textId="540E6871" w:rsidR="00B57AF7" w:rsidRPr="004E151F" w:rsidRDefault="00B57AF7" w:rsidP="00B57AF7">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109881B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45B4FE7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B929217" w14:textId="77777777" w:rsidR="00B57AF7" w:rsidRPr="004E151F" w:rsidRDefault="00B57AF7" w:rsidP="00B57AF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p>
    <w:p w14:paraId="50FB500D" w14:textId="77777777" w:rsidR="00B57AF7" w:rsidRPr="00FA379D" w:rsidRDefault="00B57AF7" w:rsidP="00B57AF7">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543AD87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708E3918"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lastRenderedPageBreak/>
        <w:t>c)</w:t>
      </w:r>
      <w:r w:rsidRPr="00FA379D">
        <w:rPr>
          <w:rFonts w:ascii="Arial" w:hAnsi="Arial" w:cs="Arial"/>
          <w:sz w:val="20"/>
          <w:szCs w:val="20"/>
        </w:rPr>
        <w:t xml:space="preserve"> Ejercicio fiscal</w:t>
      </w:r>
    </w:p>
    <w:p w14:paraId="1B3149F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Pr>
          <w:rFonts w:ascii="Arial" w:hAnsi="Arial" w:cs="Arial"/>
          <w:sz w:val="20"/>
          <w:szCs w:val="20"/>
        </w:rPr>
        <w:t>4</w:t>
      </w:r>
      <w:r w:rsidRPr="00FA379D">
        <w:rPr>
          <w:rFonts w:ascii="Arial" w:hAnsi="Arial" w:cs="Arial"/>
          <w:sz w:val="20"/>
          <w:szCs w:val="20"/>
        </w:rPr>
        <w:t>.</w:t>
      </w:r>
    </w:p>
    <w:p w14:paraId="4CEECF6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0097CAB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5A485A3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p>
    <w:p w14:paraId="24BAEA3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Consideraciones fiscales del ente: Revelar el tipo de contribuciones que esté obligado a pagar o retener.</w:t>
      </w:r>
    </w:p>
    <w:p w14:paraId="31B848A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05C7EE2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6207626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50579B6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BF2AEC4" w14:textId="77777777" w:rsidR="00B57AF7" w:rsidRPr="00FA379D" w:rsidRDefault="00B57AF7" w:rsidP="00B57AF7">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Pr>
          <w:rFonts w:ascii="Arial" w:hAnsi="Arial" w:cs="Arial"/>
          <w:i/>
          <w:iCs/>
          <w:color w:val="000000"/>
          <w:sz w:val="20"/>
          <w:szCs w:val="20"/>
          <w:lang w:eastAsia="es-MX"/>
        </w:rPr>
        <w:t>4</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38276C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5B8B4E4A" w14:textId="3AAA0D26" w:rsidR="00B57AF7" w:rsidRPr="004E151F" w:rsidRDefault="00B57AF7" w:rsidP="00B57AF7">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r w:rsidR="00DB3F4E">
        <w:rPr>
          <w:rFonts w:ascii="Arial" w:hAnsi="Arial" w:cs="Arial"/>
          <w:color w:val="000000"/>
          <w:sz w:val="20"/>
          <w:szCs w:val="20"/>
          <w:lang w:eastAsia="es-MX"/>
        </w:rPr>
        <w:t>.</w:t>
      </w:r>
    </w:p>
    <w:bookmarkEnd w:id="22"/>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2EAE084B" w14:textId="77777777" w:rsidR="00B57AF7" w:rsidRPr="00FA379D" w:rsidRDefault="00B57AF7" w:rsidP="00B57AF7">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6580FA3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200BE91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F93042" w14:textId="77777777" w:rsidR="00B57AF7" w:rsidRPr="00FA379D" w:rsidRDefault="00B57AF7" w:rsidP="00B57AF7">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9BD09D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342FBAAD" w14:textId="77777777" w:rsidR="00B57AF7" w:rsidRPr="00FA379D" w:rsidRDefault="00B57AF7" w:rsidP="00B57AF7">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2619477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Las Bases de Preparación de los Estados Financieros aplican los Postulados Básicos de Registro Contable, el devengo del ingreso, entre otros, aún se encuentra en fase de desarrollo de los diferentes rubros de la información financiera.</w:t>
      </w:r>
    </w:p>
    <w:p w14:paraId="32D7075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41FC3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aplica normatividad supletoria.</w:t>
      </w:r>
    </w:p>
    <w:p w14:paraId="44756867" w14:textId="77777777" w:rsidR="00B57AF7" w:rsidRPr="00FA379D" w:rsidRDefault="00B57AF7" w:rsidP="00B57AF7">
      <w:pPr>
        <w:tabs>
          <w:tab w:val="left" w:leader="underscore" w:pos="9639"/>
        </w:tabs>
        <w:jc w:val="both"/>
        <w:rPr>
          <w:rFonts w:ascii="Arial" w:hAnsi="Arial" w:cs="Arial"/>
          <w:sz w:val="20"/>
          <w:szCs w:val="20"/>
        </w:rPr>
      </w:pPr>
    </w:p>
    <w:p w14:paraId="673307AA" w14:textId="77777777" w:rsidR="00B57AF7" w:rsidRPr="00FA379D" w:rsidRDefault="00B57AF7" w:rsidP="00B57AF7">
      <w:pPr>
        <w:tabs>
          <w:tab w:val="left" w:leader="underscore" w:pos="9639"/>
        </w:tabs>
        <w:jc w:val="both"/>
        <w:rPr>
          <w:rFonts w:ascii="Arial" w:hAnsi="Arial" w:cs="Arial"/>
          <w:sz w:val="20"/>
          <w:szCs w:val="20"/>
        </w:rPr>
      </w:pPr>
    </w:p>
    <w:p w14:paraId="2BB9F33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17B3E1B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6AE607EF"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25"/>
    </w:p>
    <w:p w14:paraId="15CB445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3209F328" w14:textId="77777777" w:rsidR="00B57AF7" w:rsidRDefault="00B57AF7" w:rsidP="00B57AF7">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2C223C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E3E98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3E83B90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los últimos estados financieros con la normatividad anteriormente utilizada con las nuevas políticas para fines de comparación en la transición a la base devengado.</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2923A6E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57C5E7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E44353F" w14:textId="77777777" w:rsidR="0044679A" w:rsidRPr="00FA379D" w:rsidRDefault="0044679A" w:rsidP="0044679A">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79BB8CEC"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2B1A2E2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266A3251" w14:textId="77777777" w:rsidR="0044679A" w:rsidRPr="00FA379D" w:rsidRDefault="0044679A" w:rsidP="0044679A">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31909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0283813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lastRenderedPageBreak/>
        <w:t>d)</w:t>
      </w:r>
      <w:r w:rsidRPr="00FA379D">
        <w:rPr>
          <w:rFonts w:ascii="Arial" w:hAnsi="Arial" w:cs="Arial"/>
          <w:sz w:val="20"/>
          <w:szCs w:val="20"/>
        </w:rPr>
        <w:t xml:space="preserve"> Sistema y método de valuación de inventarios y costo de lo vendido:</w:t>
      </w:r>
    </w:p>
    <w:p w14:paraId="0A01B71D" w14:textId="77777777" w:rsidR="0044679A" w:rsidRDefault="0044679A" w:rsidP="0044679A">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EDA7E9E"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F38753E" w14:textId="77777777" w:rsidR="0044679A" w:rsidRDefault="0044679A" w:rsidP="0044679A">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53F68DD6"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34AC1B11" w14:textId="77777777" w:rsidR="0044679A" w:rsidRPr="004E151F"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49972A3A" w14:textId="77777777" w:rsidR="0044679A" w:rsidRPr="00FA379D" w:rsidRDefault="0044679A" w:rsidP="0044679A">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t>g)</w:t>
      </w:r>
      <w:r w:rsidRPr="00FA379D">
        <w:rPr>
          <w:rFonts w:ascii="Arial" w:hAnsi="Arial" w:cs="Arial"/>
          <w:sz w:val="20"/>
          <w:szCs w:val="20"/>
        </w:rPr>
        <w:t xml:space="preserve"> Reservas: objetivo de su creación, monto y plazo:</w:t>
      </w:r>
    </w:p>
    <w:p w14:paraId="473BBEBF" w14:textId="77777777" w:rsidR="0044679A" w:rsidRPr="00FA379D" w:rsidRDefault="0044679A" w:rsidP="0044679A">
      <w:pPr>
        <w:tabs>
          <w:tab w:val="left" w:leader="underscore" w:pos="9639"/>
        </w:tabs>
        <w:jc w:val="both"/>
        <w:rPr>
          <w:rFonts w:ascii="Arial" w:hAnsi="Arial" w:cs="Arial"/>
          <w:sz w:val="20"/>
          <w:szCs w:val="20"/>
        </w:rPr>
      </w:pPr>
    </w:p>
    <w:p w14:paraId="5A1190C2" w14:textId="77777777" w:rsidR="0044679A" w:rsidRPr="004E151F" w:rsidRDefault="0044679A" w:rsidP="0044679A">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6EEB477A" w14:textId="77777777" w:rsidR="0044679A" w:rsidRPr="00FA379D" w:rsidRDefault="0044679A" w:rsidP="0044679A">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3220DD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C795741"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36153F4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6828E7B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044D894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2D976A8A"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313FEF4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CCB03D4"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135ECD1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lastRenderedPageBreak/>
        <w:t>Este Instituto de Infraestructura Física Educativa de Guanajuato no cuenta con activos en moneda extranjera.</w:t>
      </w:r>
    </w:p>
    <w:p w14:paraId="36EE7C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76201ECC"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94A69A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46C30028" w14:textId="77777777" w:rsidR="00F30FC5" w:rsidRPr="00FA379D" w:rsidRDefault="00F30FC5" w:rsidP="00F30FC5">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41E9E0FD"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4469175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EB023E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Equivalente en moneda nacional:</w:t>
      </w:r>
    </w:p>
    <w:p w14:paraId="165DB4C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23ECECB1" w14:textId="77777777" w:rsidR="00F30FC5" w:rsidRPr="00FA379D" w:rsidRDefault="00F30FC5" w:rsidP="00F30FC5">
      <w:pPr>
        <w:tabs>
          <w:tab w:val="left" w:leader="underscore" w:pos="9639"/>
        </w:tabs>
        <w:jc w:val="both"/>
        <w:rPr>
          <w:rFonts w:ascii="Arial" w:hAnsi="Arial" w:cs="Arial"/>
          <w:sz w:val="20"/>
          <w:szCs w:val="20"/>
        </w:rPr>
      </w:pPr>
    </w:p>
    <w:p w14:paraId="5341173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0323AB4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0A6EEC5C" w14:textId="77777777" w:rsidR="00F30FC5" w:rsidRPr="00E74967" w:rsidRDefault="00F30FC5" w:rsidP="00F30FC5">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C3EAB9F"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B4AA1D1"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92EAB7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3E74B43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1E32A6D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p>
    <w:p w14:paraId="1836EEBB"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E713C0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9178B1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073FC8F3" w14:textId="77777777" w:rsidR="00F30FC5" w:rsidRDefault="00F30FC5" w:rsidP="00F30FC5">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350CD2B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7FC9869" w14:textId="77777777" w:rsidR="00F30FC5" w:rsidRDefault="00F30FC5" w:rsidP="00F30FC5">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06FDD7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91137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C8CE139" w14:textId="77777777" w:rsidR="00606C11" w:rsidRDefault="00606C11" w:rsidP="00F30FC5">
      <w:pPr>
        <w:tabs>
          <w:tab w:val="left" w:leader="underscore" w:pos="9639"/>
        </w:tabs>
        <w:jc w:val="both"/>
        <w:rPr>
          <w:rFonts w:ascii="Arial" w:hAnsi="Arial" w:cs="Arial"/>
          <w:sz w:val="20"/>
          <w:szCs w:val="20"/>
        </w:rPr>
      </w:pPr>
    </w:p>
    <w:p w14:paraId="7A08AE92" w14:textId="77777777" w:rsidR="00606C11" w:rsidRDefault="00606C11" w:rsidP="00F30FC5">
      <w:pPr>
        <w:tabs>
          <w:tab w:val="left" w:leader="underscore" w:pos="9639"/>
        </w:tabs>
        <w:jc w:val="both"/>
        <w:rPr>
          <w:rFonts w:ascii="Arial" w:hAnsi="Arial" w:cs="Arial"/>
          <w:sz w:val="20"/>
          <w:szCs w:val="20"/>
        </w:rPr>
      </w:pPr>
    </w:p>
    <w:p w14:paraId="3EA3F31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32B1FB7F"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10A02D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281AD0F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27CE45E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2F5C8A0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Inversiones en valores:</w:t>
      </w:r>
    </w:p>
    <w:p w14:paraId="0C2829F4"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BDE2F5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5CACAD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1FD4506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2F1E59E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A6B2FB5" w14:textId="77777777" w:rsidR="00F30FC5" w:rsidRPr="00FA379D" w:rsidRDefault="00F30FC5" w:rsidP="00F30FC5">
      <w:pPr>
        <w:tabs>
          <w:tab w:val="left" w:leader="underscore" w:pos="9639"/>
        </w:tabs>
        <w:jc w:val="both"/>
        <w:rPr>
          <w:rFonts w:ascii="Arial" w:hAnsi="Arial" w:cs="Arial"/>
          <w:sz w:val="20"/>
          <w:szCs w:val="20"/>
        </w:rPr>
      </w:pPr>
    </w:p>
    <w:p w14:paraId="3D120F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8DE905C"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D55226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161531AB" w14:textId="77777777" w:rsidR="00F30FC5" w:rsidRDefault="00F30FC5" w:rsidP="00F30FC5">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636D4FA9" w14:textId="77777777" w:rsidR="00F30FC5" w:rsidRPr="00E74967" w:rsidRDefault="00F30FC5" w:rsidP="00F30FC5">
      <w:pPr>
        <w:tabs>
          <w:tab w:val="left" w:leader="underscore" w:pos="9639"/>
        </w:tabs>
        <w:spacing w:after="0" w:line="240" w:lineRule="auto"/>
        <w:jc w:val="both"/>
        <w:rPr>
          <w:rFonts w:cs="Calibri"/>
        </w:rPr>
      </w:pPr>
      <w:bookmarkStart w:id="40" w:name="_Toc161472874"/>
      <w:r w:rsidRPr="00E74967">
        <w:rPr>
          <w:rFonts w:cs="Calibri"/>
        </w:rPr>
        <w:t>Se deberá informar:</w:t>
      </w:r>
    </w:p>
    <w:p w14:paraId="7395F104" w14:textId="77777777" w:rsidR="00F30FC5" w:rsidRPr="00E74967" w:rsidRDefault="00F30FC5" w:rsidP="00F30FC5">
      <w:pPr>
        <w:tabs>
          <w:tab w:val="left" w:leader="underscore" w:pos="9639"/>
        </w:tabs>
        <w:spacing w:after="0" w:line="240" w:lineRule="auto"/>
        <w:jc w:val="both"/>
        <w:rPr>
          <w:rFonts w:cs="Calibri"/>
        </w:rPr>
      </w:pPr>
    </w:p>
    <w:p w14:paraId="5A4C1280" w14:textId="77777777" w:rsidR="00F30FC5"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6E8FA5" w14:textId="77777777" w:rsidR="00F30FC5" w:rsidRDefault="00F30FC5" w:rsidP="00F30FC5">
      <w:pPr>
        <w:tabs>
          <w:tab w:val="left" w:leader="underscore" w:pos="9639"/>
        </w:tabs>
        <w:spacing w:after="0" w:line="240" w:lineRule="auto"/>
        <w:jc w:val="both"/>
        <w:rPr>
          <w:rFonts w:cs="Calibri"/>
        </w:rPr>
      </w:pPr>
    </w:p>
    <w:p w14:paraId="338969EF" w14:textId="77777777" w:rsidR="00F30FC5" w:rsidRDefault="00F30FC5" w:rsidP="00F30FC5">
      <w:pPr>
        <w:tabs>
          <w:tab w:val="left" w:leader="underscore" w:pos="9639"/>
        </w:tabs>
        <w:spacing w:after="0" w:line="240" w:lineRule="auto"/>
        <w:jc w:val="both"/>
        <w:rPr>
          <w:rFonts w:cs="Calibri"/>
        </w:rPr>
      </w:pPr>
      <w:r w:rsidRPr="00FB26C7">
        <w:rPr>
          <w:rFonts w:cs="Calibri"/>
        </w:rPr>
        <w:t xml:space="preserve">“Esta nota no le aplica al ente público” </w:t>
      </w:r>
    </w:p>
    <w:p w14:paraId="39B1CA1F" w14:textId="77777777" w:rsidR="00F30FC5" w:rsidRPr="00E74967" w:rsidRDefault="00F30FC5" w:rsidP="00F30FC5">
      <w:pPr>
        <w:tabs>
          <w:tab w:val="left" w:leader="underscore" w:pos="9639"/>
        </w:tabs>
        <w:spacing w:after="0" w:line="240" w:lineRule="auto"/>
        <w:jc w:val="both"/>
        <w:rPr>
          <w:rFonts w:cs="Calibri"/>
        </w:rPr>
      </w:pPr>
      <w:r>
        <w:rPr>
          <w:rFonts w:cs="Calibri"/>
        </w:rPr>
        <w:t xml:space="preserve"> </w:t>
      </w:r>
    </w:p>
    <w:p w14:paraId="74A3C7FF" w14:textId="77777777" w:rsidR="00F30FC5" w:rsidRDefault="00F30FC5" w:rsidP="00F30FC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4A3C7F71" w14:textId="77777777" w:rsidR="00F30FC5" w:rsidRDefault="00F30FC5" w:rsidP="00F30FC5">
      <w:pPr>
        <w:tabs>
          <w:tab w:val="left" w:leader="underscore" w:pos="9639"/>
        </w:tabs>
        <w:spacing w:after="0" w:line="240" w:lineRule="auto"/>
        <w:jc w:val="both"/>
        <w:rPr>
          <w:rFonts w:cs="Calibri"/>
        </w:rPr>
      </w:pPr>
    </w:p>
    <w:p w14:paraId="5A01C304" w14:textId="77777777" w:rsidR="00606C11" w:rsidRDefault="00606C11" w:rsidP="00F30FC5">
      <w:pPr>
        <w:tabs>
          <w:tab w:val="left" w:leader="underscore" w:pos="9639"/>
        </w:tabs>
        <w:spacing w:after="0" w:line="240" w:lineRule="auto"/>
        <w:jc w:val="both"/>
        <w:rPr>
          <w:rFonts w:cs="Calibri"/>
        </w:rPr>
      </w:pPr>
    </w:p>
    <w:p w14:paraId="68091B81" w14:textId="77777777" w:rsidR="00606C11" w:rsidRDefault="00606C11" w:rsidP="00F30FC5">
      <w:pPr>
        <w:tabs>
          <w:tab w:val="left" w:leader="underscore" w:pos="9639"/>
        </w:tabs>
        <w:spacing w:after="0" w:line="240" w:lineRule="auto"/>
        <w:jc w:val="both"/>
        <w:rPr>
          <w:rFonts w:cs="Calibri"/>
        </w:rPr>
      </w:pPr>
    </w:p>
    <w:p w14:paraId="4D56AACF" w14:textId="77777777" w:rsidR="00606C11" w:rsidRDefault="00606C11" w:rsidP="00F30FC5">
      <w:pPr>
        <w:tabs>
          <w:tab w:val="left" w:leader="underscore" w:pos="9639"/>
        </w:tabs>
        <w:spacing w:after="0" w:line="240" w:lineRule="auto"/>
        <w:jc w:val="both"/>
        <w:rPr>
          <w:rFonts w:cs="Calibri"/>
        </w:rPr>
      </w:pPr>
    </w:p>
    <w:p w14:paraId="060AC0CD" w14:textId="77777777" w:rsidR="00606C11" w:rsidRDefault="00606C11" w:rsidP="00F30FC5">
      <w:pPr>
        <w:tabs>
          <w:tab w:val="left" w:leader="underscore" w:pos="9639"/>
        </w:tabs>
        <w:spacing w:after="0" w:line="240" w:lineRule="auto"/>
        <w:jc w:val="both"/>
        <w:rPr>
          <w:rFonts w:cs="Calibri"/>
        </w:rPr>
      </w:pPr>
    </w:p>
    <w:p w14:paraId="5C0C63CC" w14:textId="77777777" w:rsidR="00606C11" w:rsidRDefault="00606C11" w:rsidP="00F30FC5">
      <w:pPr>
        <w:tabs>
          <w:tab w:val="left" w:leader="underscore" w:pos="9639"/>
        </w:tabs>
        <w:spacing w:after="0" w:line="240" w:lineRule="auto"/>
        <w:jc w:val="both"/>
        <w:rPr>
          <w:rFonts w:cs="Calibri"/>
        </w:rPr>
      </w:pPr>
    </w:p>
    <w:p w14:paraId="380803A4" w14:textId="77777777" w:rsidR="00606C11" w:rsidRDefault="00606C11" w:rsidP="00F30FC5">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44A431C5"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A163C3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210E8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DA7797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4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23F44BCD"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E0CBF54" w14:textId="77777777" w:rsidR="00F30FC5" w:rsidRDefault="00F30FC5" w:rsidP="00F30FC5">
      <w:pPr>
        <w:tabs>
          <w:tab w:val="left" w:leader="underscore" w:pos="9639"/>
        </w:tabs>
        <w:spacing w:after="0" w:line="240" w:lineRule="auto"/>
        <w:jc w:val="both"/>
        <w:rPr>
          <w:rFonts w:cs="Calibri"/>
        </w:rPr>
      </w:pPr>
    </w:p>
    <w:p w14:paraId="7A14DAC5"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0D19AF15" w14:textId="77777777" w:rsidR="00F30FC5" w:rsidRPr="00E74967" w:rsidRDefault="00F30FC5" w:rsidP="00F30FC5">
      <w:pPr>
        <w:tabs>
          <w:tab w:val="left" w:leader="underscore" w:pos="9639"/>
        </w:tabs>
        <w:spacing w:after="0" w:line="240" w:lineRule="auto"/>
        <w:jc w:val="both"/>
        <w:rPr>
          <w:rFonts w:cs="Calibri"/>
        </w:rPr>
      </w:pPr>
    </w:p>
    <w:p w14:paraId="2D5E6151"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8C82C1B" w14:textId="77777777" w:rsidR="00F30FC5" w:rsidRPr="00E74967" w:rsidRDefault="00F30FC5" w:rsidP="00F30FC5">
      <w:pPr>
        <w:tabs>
          <w:tab w:val="left" w:leader="underscore" w:pos="9639"/>
        </w:tabs>
        <w:spacing w:after="0" w:line="240" w:lineRule="auto"/>
        <w:jc w:val="both"/>
        <w:rPr>
          <w:rFonts w:cs="Calibri"/>
        </w:rPr>
      </w:pPr>
      <w:r w:rsidRPr="00E74967">
        <w:rPr>
          <w:rFonts w:cs="Calibri"/>
        </w:rPr>
        <w:t>* Se anexará la información en las notas de desglose.</w:t>
      </w:r>
    </w:p>
    <w:p w14:paraId="5250CCD1" w14:textId="77777777" w:rsidR="00F30FC5" w:rsidRPr="00E74967" w:rsidRDefault="00F30FC5" w:rsidP="00F30FC5">
      <w:pPr>
        <w:tabs>
          <w:tab w:val="left" w:leader="underscore" w:pos="9639"/>
        </w:tabs>
        <w:spacing w:after="0" w:line="240" w:lineRule="auto"/>
        <w:jc w:val="both"/>
        <w:rPr>
          <w:rFonts w:cs="Calibri"/>
        </w:rPr>
      </w:pPr>
    </w:p>
    <w:p w14:paraId="00CE52EF"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456E4D60" w14:textId="77777777" w:rsidR="00F30FC5" w:rsidRDefault="00F30FC5" w:rsidP="00F30FC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9B33C4" w14:textId="77777777" w:rsidR="00F30FC5" w:rsidRPr="00E74967" w:rsidRDefault="00F30FC5" w:rsidP="00F30FC5">
      <w:pPr>
        <w:tabs>
          <w:tab w:val="left" w:leader="underscore" w:pos="9639"/>
        </w:tabs>
        <w:spacing w:after="0" w:line="240" w:lineRule="auto"/>
        <w:jc w:val="both"/>
        <w:rPr>
          <w:rFonts w:cs="Calibri"/>
        </w:rPr>
      </w:pPr>
    </w:p>
    <w:p w14:paraId="641DC283" w14:textId="77777777" w:rsidR="00F30FC5" w:rsidRPr="00E74967"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613B2F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368D36E6"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27FEAD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60606F4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6E98D8D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78C3B433"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bookmarkStart w:id="45" w:name="_Hlk172110533"/>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bookmarkEnd w:id="45"/>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6"/>
    </w:p>
    <w:p w14:paraId="3D96A9B1" w14:textId="77777777" w:rsidR="00D2649E" w:rsidRDefault="00D2649E" w:rsidP="00D2649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7B8DA052" w14:textId="77777777" w:rsidR="00D2649E" w:rsidRDefault="00D2649E" w:rsidP="00D2649E">
      <w:pPr>
        <w:tabs>
          <w:tab w:val="left" w:leader="underscore" w:pos="9639"/>
        </w:tabs>
        <w:spacing w:after="0" w:line="240" w:lineRule="auto"/>
        <w:jc w:val="both"/>
        <w:rPr>
          <w:rFonts w:cs="Calibri"/>
        </w:rPr>
      </w:pPr>
    </w:p>
    <w:p w14:paraId="034C52EB" w14:textId="482B8817" w:rsidR="00D2649E" w:rsidRDefault="00D2649E" w:rsidP="00D2649E">
      <w:pPr>
        <w:tabs>
          <w:tab w:val="left" w:leader="underscore" w:pos="9639"/>
        </w:tabs>
        <w:jc w:val="both"/>
        <w:rPr>
          <w:rFonts w:ascii="Arial" w:hAnsi="Arial" w:cs="Arial"/>
          <w:sz w:val="20"/>
          <w:szCs w:val="20"/>
        </w:rPr>
      </w:pPr>
      <w:r>
        <w:rPr>
          <w:rFonts w:ascii="Arial" w:hAnsi="Arial" w:cs="Arial"/>
          <w:sz w:val="20"/>
          <w:szCs w:val="20"/>
        </w:rPr>
        <w:t>No existen eventos posteriores al cierre al 3</w:t>
      </w:r>
      <w:r w:rsidR="00817048">
        <w:rPr>
          <w:rFonts w:ascii="Arial" w:hAnsi="Arial" w:cs="Arial"/>
          <w:sz w:val="20"/>
          <w:szCs w:val="20"/>
        </w:rPr>
        <w:t>0</w:t>
      </w:r>
      <w:r>
        <w:rPr>
          <w:rFonts w:ascii="Arial" w:hAnsi="Arial" w:cs="Arial"/>
          <w:sz w:val="20"/>
          <w:szCs w:val="20"/>
        </w:rPr>
        <w:t xml:space="preserve"> de</w:t>
      </w:r>
      <w:r w:rsidR="00817048">
        <w:rPr>
          <w:rFonts w:ascii="Arial" w:hAnsi="Arial" w:cs="Arial"/>
          <w:sz w:val="20"/>
          <w:szCs w:val="20"/>
        </w:rPr>
        <w:t xml:space="preserve"> </w:t>
      </w:r>
      <w:r w:rsidR="009C41C6">
        <w:rPr>
          <w:rFonts w:ascii="Arial" w:hAnsi="Arial" w:cs="Arial"/>
          <w:sz w:val="20"/>
          <w:szCs w:val="20"/>
        </w:rPr>
        <w:t>septiembre</w:t>
      </w:r>
      <w:r>
        <w:rPr>
          <w:rFonts w:ascii="Arial" w:hAnsi="Arial" w:cs="Arial"/>
          <w:sz w:val="20"/>
          <w:szCs w:val="20"/>
        </w:rPr>
        <w:t xml:space="preserve"> de 2024.</w:t>
      </w:r>
    </w:p>
    <w:p w14:paraId="55D08D4D" w14:textId="77777777" w:rsidR="007D1E76" w:rsidRDefault="007D1E76" w:rsidP="00CB41C4">
      <w:pPr>
        <w:tabs>
          <w:tab w:val="left" w:leader="underscore" w:pos="9639"/>
        </w:tabs>
        <w:spacing w:after="0" w:line="240" w:lineRule="auto"/>
        <w:jc w:val="both"/>
        <w:rPr>
          <w:rFonts w:cs="Calibri"/>
        </w:rPr>
      </w:pPr>
    </w:p>
    <w:p w14:paraId="5E3F93AA" w14:textId="77777777" w:rsidR="00D41325" w:rsidRDefault="00D41325" w:rsidP="00CB41C4">
      <w:pPr>
        <w:tabs>
          <w:tab w:val="left" w:leader="underscore" w:pos="9639"/>
        </w:tabs>
        <w:spacing w:after="0" w:line="240" w:lineRule="auto"/>
        <w:jc w:val="both"/>
        <w:rPr>
          <w:rFonts w:cs="Calibri"/>
        </w:rPr>
      </w:pPr>
    </w:p>
    <w:p w14:paraId="44D910FF" w14:textId="77777777" w:rsidR="00D41325" w:rsidRPr="00E74967" w:rsidRDefault="00D41325"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7"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7"/>
    </w:p>
    <w:p w14:paraId="20438A33" w14:textId="77777777" w:rsidR="007D1E76" w:rsidRPr="00E74967" w:rsidRDefault="007D1E76" w:rsidP="00CB41C4">
      <w:pPr>
        <w:tabs>
          <w:tab w:val="left" w:leader="underscore" w:pos="9639"/>
        </w:tabs>
        <w:spacing w:after="0" w:line="240" w:lineRule="auto"/>
        <w:jc w:val="both"/>
        <w:rPr>
          <w:rFonts w:cs="Calibri"/>
        </w:rPr>
      </w:pPr>
    </w:p>
    <w:p w14:paraId="55A9059C" w14:textId="77777777" w:rsidR="00D2649E" w:rsidRPr="00E74967" w:rsidRDefault="00D2649E" w:rsidP="00D2649E">
      <w:pPr>
        <w:tabs>
          <w:tab w:val="left" w:leader="underscore" w:pos="9639"/>
        </w:tabs>
        <w:spacing w:after="0" w:line="240" w:lineRule="auto"/>
        <w:jc w:val="both"/>
        <w:rPr>
          <w:rFonts w:cs="Calibri"/>
        </w:rPr>
      </w:pPr>
      <w:bookmarkStart w:id="48" w:name="_Toc161472881"/>
      <w:r w:rsidRPr="00E74967">
        <w:rPr>
          <w:rFonts w:cs="Calibri"/>
        </w:rPr>
        <w:t>Se debe establecer por escrito que no existen partes relacionadas que pudieran ejercer influencia significativa sobre la toma de decisiones financieras y operativas:</w:t>
      </w:r>
    </w:p>
    <w:p w14:paraId="50491A6C" w14:textId="77777777" w:rsidR="00D2649E" w:rsidRDefault="00D2649E" w:rsidP="00D2649E">
      <w:pPr>
        <w:tabs>
          <w:tab w:val="left" w:leader="underscore" w:pos="9639"/>
        </w:tabs>
        <w:spacing w:after="0" w:line="240" w:lineRule="auto"/>
        <w:jc w:val="both"/>
        <w:rPr>
          <w:rFonts w:cs="Calibri"/>
        </w:rPr>
      </w:pPr>
      <w:r>
        <w:rPr>
          <w:rFonts w:cs="Calibri"/>
        </w:rPr>
        <w:t xml:space="preserve">  </w:t>
      </w:r>
    </w:p>
    <w:p w14:paraId="1F877887" w14:textId="77777777" w:rsidR="00D2649E" w:rsidRDefault="00D2649E" w:rsidP="00D2649E">
      <w:pPr>
        <w:tabs>
          <w:tab w:val="left" w:leader="underscore" w:pos="9639"/>
        </w:tabs>
        <w:spacing w:after="0" w:line="240" w:lineRule="auto"/>
        <w:jc w:val="both"/>
        <w:rPr>
          <w:rFonts w:cs="Calibri"/>
        </w:rPr>
      </w:pPr>
      <w:r w:rsidRPr="00FB26C7">
        <w:rPr>
          <w:rFonts w:cs="Calibri"/>
        </w:rPr>
        <w:t>“Esta nota no le aplica al ente público”</w:t>
      </w:r>
    </w:p>
    <w:p w14:paraId="7449894F" w14:textId="77777777" w:rsidR="00D2649E" w:rsidRDefault="00D2649E" w:rsidP="00D2649E">
      <w:pPr>
        <w:tabs>
          <w:tab w:val="left" w:leader="underscore" w:pos="9639"/>
        </w:tabs>
        <w:spacing w:after="0" w:line="240" w:lineRule="auto"/>
        <w:jc w:val="both"/>
        <w:rPr>
          <w:rFonts w:cs="Calibri"/>
        </w:rPr>
      </w:pPr>
    </w:p>
    <w:p w14:paraId="6DA7AF08" w14:textId="77777777" w:rsidR="00D2649E" w:rsidRDefault="00D2649E" w:rsidP="00D2649E">
      <w:pPr>
        <w:tabs>
          <w:tab w:val="left" w:leader="underscore" w:pos="9639"/>
        </w:tabs>
        <w:spacing w:after="0" w:line="240" w:lineRule="auto"/>
        <w:jc w:val="both"/>
        <w:rPr>
          <w:rFonts w:cs="Calibri"/>
        </w:rPr>
      </w:pPr>
    </w:p>
    <w:p w14:paraId="2B279DF9" w14:textId="77777777" w:rsidR="00D2649E" w:rsidRDefault="00D2649E" w:rsidP="00D2649E">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8"/>
    </w:p>
    <w:p w14:paraId="24905817" w14:textId="77777777" w:rsidR="007D1E76" w:rsidRPr="00E74967" w:rsidRDefault="007D1E76" w:rsidP="00CB41C4">
      <w:pPr>
        <w:tabs>
          <w:tab w:val="left" w:leader="underscore" w:pos="9639"/>
        </w:tabs>
        <w:spacing w:after="0" w:line="240" w:lineRule="auto"/>
        <w:jc w:val="both"/>
        <w:rPr>
          <w:rFonts w:cs="Calibri"/>
        </w:rPr>
      </w:pPr>
    </w:p>
    <w:p w14:paraId="3C9A5C27" w14:textId="77777777" w:rsidR="00D2649E" w:rsidRPr="00E74967" w:rsidRDefault="00D2649E" w:rsidP="00D2649E">
      <w:pPr>
        <w:tabs>
          <w:tab w:val="left" w:leader="underscore" w:pos="9639"/>
        </w:tabs>
        <w:spacing w:after="0" w:line="240" w:lineRule="auto"/>
        <w:jc w:val="both"/>
        <w:rPr>
          <w:rFonts w:cs="Calibri"/>
        </w:rPr>
      </w:pPr>
    </w:p>
    <w:p w14:paraId="08CE11F2" w14:textId="77777777" w:rsidR="00D2649E" w:rsidRDefault="00D2649E" w:rsidP="00D2649E">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64933938"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7F06FE0B"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4A4CF0FE" w14:textId="77777777" w:rsidR="00D2649E" w:rsidRDefault="00D2649E" w:rsidP="00D2649E">
      <w:pPr>
        <w:tabs>
          <w:tab w:val="left" w:leader="underscore" w:pos="9639"/>
        </w:tabs>
        <w:spacing w:after="0" w:line="240" w:lineRule="auto"/>
        <w:jc w:val="both"/>
        <w:rPr>
          <w:rFonts w:asciiTheme="minorHAnsi" w:hAnsiTheme="minorHAnsi" w:cstheme="minorHAnsi"/>
          <w:b/>
          <w:sz w:val="24"/>
          <w:szCs w:val="24"/>
        </w:rPr>
      </w:pPr>
    </w:p>
    <w:p w14:paraId="04C62A00" w14:textId="77777777" w:rsidR="00D2649E" w:rsidRPr="0012405A" w:rsidRDefault="00D2649E" w:rsidP="00D2649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9"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9"/>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414600CA" w14:textId="77777777" w:rsidR="00D2649E" w:rsidRPr="0012405A" w:rsidRDefault="00D2649E" w:rsidP="00D2649E">
      <w:pPr>
        <w:pBdr>
          <w:bottom w:val="single" w:sz="12" w:space="1" w:color="auto"/>
        </w:pBdr>
        <w:tabs>
          <w:tab w:val="left" w:leader="underscore" w:pos="9639"/>
        </w:tabs>
        <w:spacing w:after="0" w:line="240" w:lineRule="auto"/>
        <w:jc w:val="both"/>
        <w:rPr>
          <w:rFonts w:cs="Calibri"/>
        </w:rPr>
      </w:pPr>
    </w:p>
    <w:p w14:paraId="35992777" w14:textId="77777777" w:rsidR="00D2649E" w:rsidRDefault="00D2649E" w:rsidP="00D2649E">
      <w:pPr>
        <w:tabs>
          <w:tab w:val="left" w:leader="underscore" w:pos="9639"/>
        </w:tabs>
        <w:spacing w:after="0" w:line="240" w:lineRule="auto"/>
        <w:jc w:val="both"/>
        <w:rPr>
          <w:rFonts w:cs="Calibri"/>
        </w:rPr>
      </w:pPr>
    </w:p>
    <w:p w14:paraId="4F8BD127" w14:textId="77777777" w:rsidR="00D2649E" w:rsidRPr="00FA379D" w:rsidRDefault="00D2649E" w:rsidP="00D2649E">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74D16815" w14:textId="77777777" w:rsidR="00D5018E" w:rsidRDefault="00D5018E" w:rsidP="00D2649E">
      <w:pPr>
        <w:tabs>
          <w:tab w:val="left" w:leader="underscore" w:pos="9639"/>
        </w:tabs>
        <w:spacing w:after="0" w:line="240" w:lineRule="auto"/>
        <w:jc w:val="both"/>
        <w:rPr>
          <w:rFonts w:cs="Calibri"/>
        </w:rPr>
      </w:pPr>
    </w:p>
    <w:p w14:paraId="7F77F7B2" w14:textId="77777777" w:rsidR="00D2649E" w:rsidRDefault="00D2649E" w:rsidP="00D2649E">
      <w:pPr>
        <w:tabs>
          <w:tab w:val="left" w:leader="underscore" w:pos="9639"/>
        </w:tabs>
        <w:spacing w:after="0" w:line="240" w:lineRule="auto"/>
        <w:jc w:val="both"/>
        <w:rPr>
          <w:rFonts w:cs="Calibri"/>
        </w:rPr>
      </w:pPr>
    </w:p>
    <w:p w14:paraId="4980BA6E" w14:textId="77777777" w:rsidR="00D2649E" w:rsidRDefault="00D2649E" w:rsidP="00D2649E">
      <w:pPr>
        <w:tabs>
          <w:tab w:val="left" w:leader="underscore" w:pos="9639"/>
        </w:tabs>
        <w:spacing w:after="0" w:line="240" w:lineRule="auto"/>
        <w:jc w:val="both"/>
        <w:rPr>
          <w:rFonts w:cs="Calibri"/>
        </w:rPr>
      </w:pPr>
    </w:p>
    <w:p w14:paraId="55510F95" w14:textId="77777777" w:rsidR="00D2649E" w:rsidRDefault="00D2649E" w:rsidP="00D2649E">
      <w:pPr>
        <w:tabs>
          <w:tab w:val="left" w:leader="underscore" w:pos="9639"/>
        </w:tabs>
        <w:spacing w:after="0" w:line="240" w:lineRule="auto"/>
        <w:jc w:val="both"/>
        <w:rPr>
          <w:rFonts w:cs="Calibri"/>
        </w:rPr>
      </w:pPr>
    </w:p>
    <w:p w14:paraId="377E6353" w14:textId="77777777" w:rsidR="00D2649E" w:rsidRDefault="00D2649E" w:rsidP="00D2649E">
      <w:pPr>
        <w:tabs>
          <w:tab w:val="left" w:leader="underscore" w:pos="9639"/>
        </w:tabs>
        <w:spacing w:after="0" w:line="240" w:lineRule="auto"/>
        <w:jc w:val="both"/>
        <w:rPr>
          <w:rFonts w:cs="Calibri"/>
        </w:rPr>
      </w:pPr>
    </w:p>
    <w:p w14:paraId="70BC56C4" w14:textId="77777777" w:rsidR="00D2649E" w:rsidRDefault="00D2649E" w:rsidP="00D2649E">
      <w:pPr>
        <w:tabs>
          <w:tab w:val="left" w:leader="underscore" w:pos="9639"/>
        </w:tabs>
        <w:spacing w:after="0" w:line="240" w:lineRule="auto"/>
        <w:jc w:val="both"/>
        <w:rPr>
          <w:rFonts w:cs="Calibri"/>
        </w:rPr>
      </w:pPr>
    </w:p>
    <w:p w14:paraId="78D97FEA" w14:textId="77777777" w:rsidR="00D2649E" w:rsidRDefault="00D2649E" w:rsidP="00D2649E">
      <w:pPr>
        <w:tabs>
          <w:tab w:val="left" w:leader="underscore" w:pos="9639"/>
        </w:tabs>
        <w:spacing w:after="0" w:line="240" w:lineRule="auto"/>
        <w:jc w:val="both"/>
        <w:rPr>
          <w:rFonts w:cs="Calibri"/>
        </w:rPr>
      </w:pPr>
    </w:p>
    <w:p w14:paraId="5137945E" w14:textId="25D01D2A" w:rsidR="00D2649E" w:rsidRDefault="00D41325"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07FB967" wp14:editId="00654296">
                <wp:simplePos x="0" y="0"/>
                <wp:positionH relativeFrom="column">
                  <wp:posOffset>-549910</wp:posOffset>
                </wp:positionH>
                <wp:positionV relativeFrom="paragraph">
                  <wp:posOffset>220345</wp:posOffset>
                </wp:positionV>
                <wp:extent cx="194310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94310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 xml:space="preserve">Director General de </w:t>
                            </w:r>
                            <w:proofErr w:type="spellStart"/>
                            <w:r w:rsidRPr="00DB3F4E">
                              <w:rPr>
                                <w:rFonts w:eastAsia="Times New Roman" w:hAnsi="Aptos"/>
                                <w:color w:val="000000"/>
                                <w:sz w:val="16"/>
                                <w:szCs w:val="16"/>
                                <w:lang w:val="en-US"/>
                              </w:rPr>
                              <w:t>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wps:txbx>
                      <wps:bodyPr wrap="square" rtlCol="0" anchor="ctr">
                        <a:noAutofit/>
                      </wps:bodyPr>
                    </wps:wsp>
                  </a:graphicData>
                </a:graphic>
                <wp14:sizeRelH relativeFrom="margin">
                  <wp14:pctWidth>0</wp14:pctWidth>
                </wp14:sizeRelH>
              </wp:anchor>
            </w:drawing>
          </mc:Choice>
          <mc:Fallback>
            <w:pict>
              <v:shapetype w14:anchorId="207FB967" id="_x0000_t202" coordsize="21600,21600" o:spt="202" path="m,l,21600r21600,l21600,xe">
                <v:stroke joinstyle="miter"/>
                <v:path gradientshapeok="t" o:connecttype="rect"/>
              </v:shapetype>
              <v:shape id="Cuadro de texto 9" o:spid="_x0000_s1026" type="#_x0000_t202" style="position:absolute;left:0;text-align:left;margin-left:-43.3pt;margin-top:17.35pt;width:153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" filled="f" stroked="f">
                <v:textbo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 xml:space="preserve">Director General de </w:t>
                      </w:r>
                      <w:proofErr w:type="spellStart"/>
                      <w:r w:rsidRPr="00DB3F4E">
                        <w:rPr>
                          <w:rFonts w:eastAsia="Times New Roman" w:hAnsi="Aptos"/>
                          <w:color w:val="000000"/>
                          <w:sz w:val="16"/>
                          <w:szCs w:val="16"/>
                          <w:lang w:val="en-US"/>
                        </w:rPr>
                        <w:t>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0BCFE7" wp14:editId="5EFE1530">
                <wp:simplePos x="0" y="0"/>
                <wp:positionH relativeFrom="column">
                  <wp:posOffset>1219200</wp:posOffset>
                </wp:positionH>
                <wp:positionV relativeFrom="paragraph">
                  <wp:posOffset>177800</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wps:txbx>
                      <wps:bodyPr wrap="square" rtlCol="0" anchor="ctr">
                        <a:noAutofit/>
                      </wps:bodyPr>
                    </wps:wsp>
                  </a:graphicData>
                </a:graphic>
              </wp:anchor>
            </w:drawing>
          </mc:Choice>
          <mc:Fallback>
            <w:pict>
              <v:shape w14:anchorId="460BCFE7" id="Cuadro de texto 7" o:spid="_x0000_s1027" type="#_x0000_t202" style="position:absolute;left:0;text-align:left;margin-left:96pt;margin-top:14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" filled="f" stroked="f">
                <v:textbo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0247CD" wp14:editId="3BFBAB66">
                <wp:simplePos x="0" y="0"/>
                <wp:positionH relativeFrom="column">
                  <wp:posOffset>3008630</wp:posOffset>
                </wp:positionH>
                <wp:positionV relativeFrom="paragraph">
                  <wp:posOffset>106045</wp:posOffset>
                </wp:positionV>
                <wp:extent cx="176022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6022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Lopez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14:sizeRelH relativeFrom="margin">
                  <wp14:pctWidth>0</wp14:pctWidth>
                </wp14:sizeRelH>
              </wp:anchor>
            </w:drawing>
          </mc:Choice>
          <mc:Fallback>
            <w:pict>
              <v:shape w14:anchorId="7D0247CD" id="Cuadro de texto 8" o:spid="_x0000_s1028" type="#_x0000_t202" style="position:absolute;left:0;text-align:left;margin-left:236.9pt;margin-top:8.35pt;width:138.6pt;height: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" filled="f" stroked="f">
                <v:textbo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Lopez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p>
    <w:p w14:paraId="2A8DF768" w14:textId="58C8C3CB" w:rsidR="00D2649E" w:rsidRPr="00E74967" w:rsidRDefault="00D2649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62336" behindDoc="0" locked="0" layoutInCell="1" allowOverlap="1" wp14:anchorId="31B728CB" wp14:editId="2004E89B">
                <wp:simplePos x="0" y="0"/>
                <wp:positionH relativeFrom="column">
                  <wp:posOffset>4639310</wp:posOffset>
                </wp:positionH>
                <wp:positionV relativeFrom="paragraph">
                  <wp:posOffset>57150</wp:posOffset>
                </wp:positionV>
                <wp:extent cx="178308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78308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wps:txbx>
                      <wps:bodyPr wrap="square" rtlCol="0" anchor="ctr">
                        <a:noAutofit/>
                      </wps:bodyPr>
                    </wps:wsp>
                  </a:graphicData>
                </a:graphic>
                <wp14:sizeRelH relativeFrom="margin">
                  <wp14:pctWidth>0</wp14:pctWidth>
                </wp14:sizeRelH>
              </wp:anchor>
            </w:drawing>
          </mc:Choice>
          <mc:Fallback>
            <w:pict>
              <v:shape w14:anchorId="31B728CB" id="Cuadro de texto 1" o:spid="_x0000_s1029" type="#_x0000_t202" style="position:absolute;left:0;text-align:left;margin-left:365.3pt;margin-top:4.5pt;width:140.4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" filled="f" stroked="f">
                <v:textbo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v:textbox>
              </v:shape>
            </w:pict>
          </mc:Fallback>
        </mc:AlternateContent>
      </w:r>
    </w:p>
    <w:sectPr w:rsidR="00D2649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82CF" w14:textId="77777777" w:rsidR="0086689C" w:rsidRDefault="0086689C" w:rsidP="00E00323">
      <w:pPr>
        <w:spacing w:after="0" w:line="240" w:lineRule="auto"/>
      </w:pPr>
      <w:r>
        <w:separator/>
      </w:r>
    </w:p>
  </w:endnote>
  <w:endnote w:type="continuationSeparator" w:id="0">
    <w:p w14:paraId="6048EE45" w14:textId="77777777" w:rsidR="0086689C" w:rsidRDefault="0086689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1AB6" w14:textId="77777777" w:rsidR="0086689C" w:rsidRDefault="0086689C" w:rsidP="00E00323">
      <w:pPr>
        <w:spacing w:after="0" w:line="240" w:lineRule="auto"/>
      </w:pPr>
      <w:r>
        <w:separator/>
      </w:r>
    </w:p>
  </w:footnote>
  <w:footnote w:type="continuationSeparator" w:id="0">
    <w:p w14:paraId="7377AC0D" w14:textId="77777777" w:rsidR="0086689C" w:rsidRDefault="0086689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AE52" w14:textId="77777777" w:rsidR="00B57AF7" w:rsidRDefault="00B57AF7" w:rsidP="00B57AF7">
    <w:pPr>
      <w:pStyle w:val="Encabezado"/>
      <w:spacing w:after="0" w:line="240" w:lineRule="auto"/>
      <w:jc w:val="center"/>
    </w:pPr>
    <w:r>
      <w:t>INSTITUTO DE INFRAESTRUCTURA FISICA EDUCATIVA DE GUANAJUATO</w:t>
    </w:r>
  </w:p>
  <w:p w14:paraId="651A4C4F" w14:textId="26B2B2E7" w:rsidR="00A4610E" w:rsidRPr="00B57AF7" w:rsidRDefault="00B57AF7" w:rsidP="00B57AF7">
    <w:pPr>
      <w:pStyle w:val="Encabezado"/>
      <w:spacing w:after="0" w:line="240" w:lineRule="auto"/>
      <w:jc w:val="center"/>
    </w:pPr>
    <w:r w:rsidRPr="00A4610E">
      <w:t>CORRESPONDI</w:t>
    </w:r>
    <w:r>
      <w:t>E</w:t>
    </w:r>
    <w:r w:rsidRPr="00A4610E">
      <w:t xml:space="preserve">NTES AL </w:t>
    </w:r>
    <w:r>
      <w:t xml:space="preserve">30 DE </w:t>
    </w:r>
    <w:r w:rsidR="00643374">
      <w:t>SEPTIEMBRE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688D"/>
    <w:rsid w:val="00084EAE"/>
    <w:rsid w:val="00091CE6"/>
    <w:rsid w:val="000B3B39"/>
    <w:rsid w:val="000B7810"/>
    <w:rsid w:val="000C3365"/>
    <w:rsid w:val="00106EE9"/>
    <w:rsid w:val="0012405A"/>
    <w:rsid w:val="0012493A"/>
    <w:rsid w:val="00154BA3"/>
    <w:rsid w:val="001973A2"/>
    <w:rsid w:val="001C34BC"/>
    <w:rsid w:val="001C710C"/>
    <w:rsid w:val="001C75F2"/>
    <w:rsid w:val="001C76BC"/>
    <w:rsid w:val="001D2063"/>
    <w:rsid w:val="001D43E9"/>
    <w:rsid w:val="00231FBE"/>
    <w:rsid w:val="00232175"/>
    <w:rsid w:val="0024740E"/>
    <w:rsid w:val="002722DD"/>
    <w:rsid w:val="00295B72"/>
    <w:rsid w:val="003405DF"/>
    <w:rsid w:val="003453CA"/>
    <w:rsid w:val="00396D53"/>
    <w:rsid w:val="003E6C64"/>
    <w:rsid w:val="0043078C"/>
    <w:rsid w:val="00435A87"/>
    <w:rsid w:val="0044679A"/>
    <w:rsid w:val="004A1077"/>
    <w:rsid w:val="004A58C8"/>
    <w:rsid w:val="004F234D"/>
    <w:rsid w:val="004F6FAC"/>
    <w:rsid w:val="005053EE"/>
    <w:rsid w:val="00516100"/>
    <w:rsid w:val="00516A8F"/>
    <w:rsid w:val="00522F00"/>
    <w:rsid w:val="00533228"/>
    <w:rsid w:val="00540261"/>
    <w:rsid w:val="0054701E"/>
    <w:rsid w:val="00552EA5"/>
    <w:rsid w:val="005B5531"/>
    <w:rsid w:val="005D3E43"/>
    <w:rsid w:val="005E231E"/>
    <w:rsid w:val="005F2900"/>
    <w:rsid w:val="005F51CC"/>
    <w:rsid w:val="00606C11"/>
    <w:rsid w:val="0064059E"/>
    <w:rsid w:val="00643374"/>
    <w:rsid w:val="00657009"/>
    <w:rsid w:val="00681C79"/>
    <w:rsid w:val="006B1ADF"/>
    <w:rsid w:val="006F0687"/>
    <w:rsid w:val="006F77A8"/>
    <w:rsid w:val="007610BC"/>
    <w:rsid w:val="007714AB"/>
    <w:rsid w:val="007D1E76"/>
    <w:rsid w:val="007D4484"/>
    <w:rsid w:val="007E38A2"/>
    <w:rsid w:val="007F699D"/>
    <w:rsid w:val="00806269"/>
    <w:rsid w:val="00817048"/>
    <w:rsid w:val="00820B0A"/>
    <w:rsid w:val="00841FAD"/>
    <w:rsid w:val="0086420E"/>
    <w:rsid w:val="0086459F"/>
    <w:rsid w:val="0086689C"/>
    <w:rsid w:val="008C3BB8"/>
    <w:rsid w:val="008D3F43"/>
    <w:rsid w:val="008E076C"/>
    <w:rsid w:val="009157C3"/>
    <w:rsid w:val="0092765C"/>
    <w:rsid w:val="00967DDA"/>
    <w:rsid w:val="009736CB"/>
    <w:rsid w:val="009C41C6"/>
    <w:rsid w:val="00A4610E"/>
    <w:rsid w:val="00A6346D"/>
    <w:rsid w:val="00A730E0"/>
    <w:rsid w:val="00AA2768"/>
    <w:rsid w:val="00AA41E5"/>
    <w:rsid w:val="00AB722B"/>
    <w:rsid w:val="00AE1F6A"/>
    <w:rsid w:val="00AF4375"/>
    <w:rsid w:val="00B073DE"/>
    <w:rsid w:val="00B30469"/>
    <w:rsid w:val="00B57AF7"/>
    <w:rsid w:val="00B6368B"/>
    <w:rsid w:val="00BA53FE"/>
    <w:rsid w:val="00BE02EB"/>
    <w:rsid w:val="00C4250B"/>
    <w:rsid w:val="00C4625D"/>
    <w:rsid w:val="00C54C12"/>
    <w:rsid w:val="00C93C67"/>
    <w:rsid w:val="00C97E1E"/>
    <w:rsid w:val="00CB41C4"/>
    <w:rsid w:val="00CF1316"/>
    <w:rsid w:val="00D13C44"/>
    <w:rsid w:val="00D2649E"/>
    <w:rsid w:val="00D32331"/>
    <w:rsid w:val="00D40FC2"/>
    <w:rsid w:val="00D41325"/>
    <w:rsid w:val="00D5018E"/>
    <w:rsid w:val="00D546B2"/>
    <w:rsid w:val="00D54D71"/>
    <w:rsid w:val="00D975B1"/>
    <w:rsid w:val="00DB3F4E"/>
    <w:rsid w:val="00DD018C"/>
    <w:rsid w:val="00DE7BE6"/>
    <w:rsid w:val="00E00323"/>
    <w:rsid w:val="00E062CD"/>
    <w:rsid w:val="00E11758"/>
    <w:rsid w:val="00E74967"/>
    <w:rsid w:val="00E7559F"/>
    <w:rsid w:val="00E85520"/>
    <w:rsid w:val="00E9132F"/>
    <w:rsid w:val="00EA37F5"/>
    <w:rsid w:val="00EA7915"/>
    <w:rsid w:val="00ED7AA0"/>
    <w:rsid w:val="00F067C8"/>
    <w:rsid w:val="00F14F8B"/>
    <w:rsid w:val="00F30FC5"/>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4391</Words>
  <Characters>24153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7</cp:revision>
  <cp:lastPrinted>2024-10-24T20:09:00Z</cp:lastPrinted>
  <dcterms:created xsi:type="dcterms:W3CDTF">2024-10-21T18:39:00Z</dcterms:created>
  <dcterms:modified xsi:type="dcterms:W3CDTF">2024-10-24T20:13:00Z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