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0612AF1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E062CD">
              <w:rPr>
                <w:noProof/>
                <w:webHidden/>
              </w:rPr>
              <w:t>2</w:t>
            </w:r>
            <w:r w:rsidR="005F51CC">
              <w:rPr>
                <w:noProof/>
                <w:webHidden/>
              </w:rPr>
              <w:fldChar w:fldCharType="end"/>
            </w:r>
          </w:hyperlink>
        </w:p>
        <w:p w14:paraId="6A6756CA" w14:textId="5455DB8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sidR="00606C11">
              <w:rPr>
                <w:noProof/>
                <w:webHidden/>
              </w:rPr>
              <w:t>5</w:t>
            </w:r>
          </w:hyperlink>
        </w:p>
        <w:p w14:paraId="19796F35" w14:textId="6BD06AAD"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sidR="00606C11">
              <w:rPr>
                <w:noProof/>
                <w:webHidden/>
              </w:rPr>
              <w:t>5</w:t>
            </w:r>
          </w:hyperlink>
        </w:p>
        <w:p w14:paraId="62AC0657" w14:textId="566F03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sidR="00606C11">
              <w:rPr>
                <w:noProof/>
                <w:webHidden/>
              </w:rPr>
              <w:t>6</w:t>
            </w:r>
          </w:hyperlink>
        </w:p>
        <w:p w14:paraId="7C7C1962" w14:textId="6AF8D36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sidR="00606C11">
              <w:rPr>
                <w:noProof/>
                <w:webHidden/>
              </w:rPr>
              <w:t>7</w:t>
            </w:r>
          </w:hyperlink>
        </w:p>
        <w:p w14:paraId="3FE6C661" w14:textId="3FD1A55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sidR="00606C11">
              <w:rPr>
                <w:noProof/>
                <w:webHidden/>
              </w:rPr>
              <w:t>8</w:t>
            </w:r>
          </w:hyperlink>
        </w:p>
        <w:p w14:paraId="135541CC" w14:textId="012D16A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sidR="00E062CD">
              <w:rPr>
                <w:noProof/>
                <w:webHidden/>
              </w:rPr>
              <w:t>9</w:t>
            </w:r>
            <w:r>
              <w:rPr>
                <w:noProof/>
                <w:webHidden/>
              </w:rPr>
              <w:fldChar w:fldCharType="end"/>
            </w:r>
          </w:hyperlink>
        </w:p>
        <w:p w14:paraId="48C9D852" w14:textId="23C01E0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sidR="00E062CD">
              <w:rPr>
                <w:noProof/>
                <w:webHidden/>
              </w:rPr>
              <w:t>10</w:t>
            </w:r>
            <w:r>
              <w:rPr>
                <w:noProof/>
                <w:webHidden/>
              </w:rPr>
              <w:fldChar w:fldCharType="end"/>
            </w:r>
          </w:hyperlink>
        </w:p>
        <w:p w14:paraId="027C97E3" w14:textId="5F3780B3"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sidR="00E062CD">
              <w:rPr>
                <w:noProof/>
                <w:webHidden/>
              </w:rPr>
              <w:t>10</w:t>
            </w:r>
            <w:r>
              <w:rPr>
                <w:noProof/>
                <w:webHidden/>
              </w:rPr>
              <w:fldChar w:fldCharType="end"/>
            </w:r>
          </w:hyperlink>
        </w:p>
        <w:p w14:paraId="00DB87A1" w14:textId="6EECF658"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sidR="00606C11">
              <w:rPr>
                <w:noProof/>
                <w:webHidden/>
              </w:rPr>
              <w:t>10</w:t>
            </w:r>
          </w:hyperlink>
        </w:p>
        <w:p w14:paraId="00EEECC2" w14:textId="180B588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sidR="00606C11">
              <w:rPr>
                <w:noProof/>
                <w:webHidden/>
              </w:rPr>
              <w:t>11</w:t>
            </w:r>
          </w:hyperlink>
        </w:p>
        <w:p w14:paraId="68FD7A9A" w14:textId="3AE7933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sidR="00606C11">
              <w:rPr>
                <w:noProof/>
                <w:webHidden/>
              </w:rPr>
              <w:t>11</w:t>
            </w:r>
          </w:hyperlink>
        </w:p>
        <w:p w14:paraId="5F55527F" w14:textId="194FA585"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sidR="00E062CD">
              <w:rPr>
                <w:noProof/>
                <w:webHidden/>
              </w:rPr>
              <w:t>12</w:t>
            </w:r>
            <w:r>
              <w:rPr>
                <w:noProof/>
                <w:webHidden/>
              </w:rPr>
              <w:fldChar w:fldCharType="end"/>
            </w:r>
          </w:hyperlink>
        </w:p>
        <w:p w14:paraId="674ABB69" w14:textId="17506FE2"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sidR="00E062CD">
              <w:rPr>
                <w:noProof/>
                <w:webHidden/>
              </w:rPr>
              <w:t>12</w:t>
            </w:r>
            <w:r>
              <w:rPr>
                <w:noProof/>
                <w:webHidden/>
              </w:rPr>
              <w:fldChar w:fldCharType="end"/>
            </w:r>
          </w:hyperlink>
        </w:p>
        <w:p w14:paraId="39048CDA" w14:textId="6831B67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sidR="00E062CD">
              <w:rPr>
                <w:noProof/>
                <w:webHidden/>
              </w:rPr>
              <w:t>13</w:t>
            </w:r>
            <w:r>
              <w:rPr>
                <w:noProof/>
                <w:webHidden/>
              </w:rPr>
              <w:fldChar w:fldCharType="end"/>
            </w:r>
          </w:hyperlink>
        </w:p>
        <w:p w14:paraId="7E9C5BA3" w14:textId="54E77FE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sidR="00E062CD">
              <w:rPr>
                <w:noProof/>
                <w:webHidden/>
              </w:rPr>
              <w:t>13</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1D932F2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Conforme al Decreto Gubernativo Núm.83 publicado en el DOF del 21 de octubre del 2008 se crea el Instituto de Infraestructura Física Educativa de Guanajuato, como un organismo público descentralizado de la administración pública estatal con personalidad jurídica y patrimonio propios, el cual se identificará como INIFEG y estará sectorizado a la Secretaría de Educación de Guanajuato.</w:t>
      </w:r>
    </w:p>
    <w:p w14:paraId="3283E53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tiene por objeto llevar a cabo la construcción, reconstrucción, reforzamiento, rehabilitación, habilitación, adecuación mantenimiento y equipamiento de la infraestructura física educativa del estado de Guanajuato, así como su promoción, de conformidad con la normatividad aplicable.</w:t>
      </w:r>
    </w:p>
    <w:p w14:paraId="08FC91B3" w14:textId="77777777" w:rsidR="00B57AF7" w:rsidRPr="004E151F"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Con fecha 04 de junio de 2019 se publica en el Periódico Oficial el nuevo Reglamento Interior del Instituto de Infraestructura Física Educativa de Guanajuato, Decreto Gubernativo número 24.</w:t>
      </w:r>
    </w:p>
    <w:p w14:paraId="5C6E2E08" w14:textId="77777777" w:rsidR="00B57AF7" w:rsidRPr="00FA379D" w:rsidRDefault="00B57AF7" w:rsidP="00B57AF7">
      <w:pPr>
        <w:tabs>
          <w:tab w:val="left" w:leader="underscore" w:pos="9639"/>
        </w:tabs>
        <w:jc w:val="both"/>
        <w:rPr>
          <w:rFonts w:ascii="Arial" w:hAnsi="Arial" w:cs="Arial"/>
          <w:i/>
          <w:iCs/>
          <w:sz w:val="20"/>
          <w:szCs w:val="20"/>
        </w:rPr>
      </w:pPr>
      <w:r w:rsidRPr="00FA379D">
        <w:rPr>
          <w:rFonts w:ascii="Arial" w:hAnsi="Arial" w:cs="Arial"/>
          <w:i/>
          <w:iCs/>
          <w:sz w:val="20"/>
          <w:szCs w:val="20"/>
        </w:rPr>
        <w:t>De conformidad con lo dispuesto en el Decreto número 6, emitido por la Sexagésima Quinta Legislatura Constitucional del Congreso del Estado Libre y Soberano de Guanajuato, publicado en el Periódico Oficial del Gobierno del Estado de Guanajuato número 233, Segunda Parte, de fecha 23 de noviembre de 2021, la Secretaría de Infraestructura Conectividad y Movilidad SICOM, sustituye en todas sus obligaciones y asume los compromisos adquiridos por el Instituto de Infraestructura Física Educativa de Guanajuato INIFEG, en virtud de la adición de atribuciones en materia de infraestructura física educativa.</w:t>
      </w:r>
    </w:p>
    <w:p w14:paraId="09E8D6FB" w14:textId="77777777" w:rsidR="00B57AF7" w:rsidRPr="00FA379D" w:rsidRDefault="00B57AF7" w:rsidP="00B57AF7">
      <w:pPr>
        <w:tabs>
          <w:tab w:val="left" w:leader="underscore" w:pos="9639"/>
        </w:tabs>
        <w:jc w:val="both"/>
        <w:rPr>
          <w:rFonts w:ascii="Arial" w:hAnsi="Arial" w:cs="Arial"/>
          <w:i/>
          <w:iCs/>
          <w:sz w:val="20"/>
          <w:szCs w:val="20"/>
        </w:rPr>
      </w:pPr>
      <w:bookmarkStart w:id="1" w:name="_Hlk125633832"/>
      <w:r w:rsidRPr="00FA379D">
        <w:rPr>
          <w:rFonts w:ascii="Arial" w:hAnsi="Arial" w:cs="Arial"/>
          <w:i/>
          <w:iCs/>
          <w:sz w:val="20"/>
          <w:szCs w:val="20"/>
        </w:rPr>
        <w:t>Así mismo, en la página 109 en el DECRETO Gubernativo Número 121 mediante el cual se expide el Reglamento Interior de la Secretaría de Infraestructura, Conectividad y Movilidad, con fecha 30 de junio de 2022 a través del Periódico Oficial del GOBIERNO DEL ESTADODE GUANAJUATO - PODER EJECUTIVO, señala textualmente lo siguiente;</w:t>
      </w:r>
    </w:p>
    <w:p w14:paraId="448C0824"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noProof/>
          <w:sz w:val="20"/>
          <w:szCs w:val="20"/>
        </w:rPr>
        <w:drawing>
          <wp:inline distT="0" distB="0" distL="0" distR="0" wp14:anchorId="7C1EB8A5" wp14:editId="419E8542">
            <wp:extent cx="5838499" cy="1562100"/>
            <wp:effectExtent l="0" t="0" r="0" b="0"/>
            <wp:docPr id="69333904" name="Imagen 38"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3904" name="Imagen 38" descr="Interfaz de usuario gráfica, Texto, Aplicación&#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23839" t="34987" r="23839" b="30853"/>
                    <a:stretch>
                      <a:fillRect/>
                    </a:stretch>
                  </pic:blipFill>
                  <pic:spPr bwMode="auto">
                    <a:xfrm>
                      <a:off x="0" y="0"/>
                      <a:ext cx="5848814" cy="1564860"/>
                    </a:xfrm>
                    <a:prstGeom prst="rect">
                      <a:avLst/>
                    </a:prstGeom>
                    <a:noFill/>
                    <a:ln>
                      <a:noFill/>
                    </a:ln>
                  </pic:spPr>
                </pic:pic>
              </a:graphicData>
            </a:graphic>
          </wp:inline>
        </w:drawing>
      </w:r>
    </w:p>
    <w:p w14:paraId="4B212651" w14:textId="419C9AB1" w:rsidR="00B57AF7" w:rsidRDefault="00B57AF7" w:rsidP="00B57AF7">
      <w:pPr>
        <w:tabs>
          <w:tab w:val="left" w:leader="underscore" w:pos="9639"/>
        </w:tabs>
        <w:jc w:val="both"/>
        <w:rPr>
          <w:rFonts w:ascii="Arial" w:hAnsi="Arial" w:cs="Arial"/>
          <w:i/>
          <w:iCs/>
          <w:sz w:val="20"/>
          <w:szCs w:val="20"/>
        </w:rPr>
      </w:pPr>
      <w:r w:rsidRPr="00FA379D">
        <w:rPr>
          <w:rFonts w:ascii="Arial" w:hAnsi="Arial" w:cs="Arial"/>
          <w:bCs/>
          <w:sz w:val="20"/>
          <w:szCs w:val="20"/>
        </w:rPr>
        <w:t>Por lo tanto, al</w:t>
      </w:r>
      <w:r>
        <w:rPr>
          <w:rFonts w:ascii="Arial" w:hAnsi="Arial" w:cs="Arial"/>
          <w:bCs/>
          <w:sz w:val="20"/>
          <w:szCs w:val="20"/>
        </w:rPr>
        <w:t xml:space="preserve"> </w:t>
      </w:r>
      <w:r w:rsidR="009A1AA8">
        <w:rPr>
          <w:rFonts w:ascii="Arial" w:hAnsi="Arial" w:cs="Arial"/>
          <w:bCs/>
          <w:sz w:val="20"/>
          <w:szCs w:val="20"/>
        </w:rPr>
        <w:t>4to</w:t>
      </w:r>
      <w:r w:rsidRPr="00FA379D">
        <w:rPr>
          <w:rFonts w:ascii="Arial" w:hAnsi="Arial" w:cs="Arial"/>
          <w:bCs/>
          <w:sz w:val="20"/>
          <w:szCs w:val="20"/>
        </w:rPr>
        <w:t>. trimestre 202</w:t>
      </w:r>
      <w:r w:rsidR="00643374">
        <w:rPr>
          <w:rFonts w:ascii="Arial" w:hAnsi="Arial" w:cs="Arial"/>
          <w:bCs/>
          <w:sz w:val="20"/>
          <w:szCs w:val="20"/>
        </w:rPr>
        <w:t>4</w:t>
      </w:r>
      <w:r w:rsidRPr="00FA379D">
        <w:rPr>
          <w:rFonts w:ascii="Arial" w:hAnsi="Arial" w:cs="Arial"/>
          <w:bCs/>
          <w:sz w:val="20"/>
          <w:szCs w:val="20"/>
        </w:rPr>
        <w:t xml:space="preserve"> (</w:t>
      </w:r>
      <w:r>
        <w:rPr>
          <w:rFonts w:ascii="Arial" w:hAnsi="Arial" w:cs="Arial"/>
          <w:bCs/>
          <w:sz w:val="20"/>
          <w:szCs w:val="20"/>
        </w:rPr>
        <w:t>3</w:t>
      </w:r>
      <w:r w:rsidR="009A1AA8">
        <w:rPr>
          <w:rFonts w:ascii="Arial" w:hAnsi="Arial" w:cs="Arial"/>
          <w:bCs/>
          <w:sz w:val="20"/>
          <w:szCs w:val="20"/>
        </w:rPr>
        <w:t>1</w:t>
      </w:r>
      <w:r>
        <w:rPr>
          <w:rFonts w:ascii="Arial" w:hAnsi="Arial" w:cs="Arial"/>
          <w:bCs/>
          <w:sz w:val="20"/>
          <w:szCs w:val="20"/>
        </w:rPr>
        <w:t xml:space="preserve"> de </w:t>
      </w:r>
      <w:r w:rsidR="009A1AA8">
        <w:rPr>
          <w:rFonts w:ascii="Arial" w:hAnsi="Arial" w:cs="Arial"/>
          <w:bCs/>
          <w:sz w:val="20"/>
          <w:szCs w:val="20"/>
        </w:rPr>
        <w:t>Dic</w:t>
      </w:r>
      <w:r w:rsidR="00643374">
        <w:rPr>
          <w:rFonts w:ascii="Arial" w:hAnsi="Arial" w:cs="Arial"/>
          <w:bCs/>
          <w:sz w:val="20"/>
          <w:szCs w:val="20"/>
        </w:rPr>
        <w:t>iembre</w:t>
      </w:r>
      <w:r>
        <w:rPr>
          <w:rFonts w:ascii="Arial" w:hAnsi="Arial" w:cs="Arial"/>
          <w:bCs/>
          <w:sz w:val="20"/>
          <w:szCs w:val="20"/>
        </w:rPr>
        <w:t xml:space="preserve"> de 202</w:t>
      </w:r>
      <w:r w:rsidR="00643374">
        <w:rPr>
          <w:rFonts w:ascii="Arial" w:hAnsi="Arial" w:cs="Arial"/>
          <w:bCs/>
          <w:sz w:val="20"/>
          <w:szCs w:val="20"/>
        </w:rPr>
        <w:t>4</w:t>
      </w:r>
      <w:r w:rsidRPr="00FA379D">
        <w:rPr>
          <w:rFonts w:ascii="Arial" w:hAnsi="Arial" w:cs="Arial"/>
          <w:bCs/>
          <w:sz w:val="20"/>
          <w:szCs w:val="20"/>
        </w:rPr>
        <w:t xml:space="preserve">), el Instituto de Infraestructura </w:t>
      </w:r>
      <w:r w:rsidR="00643374" w:rsidRPr="00FA379D">
        <w:rPr>
          <w:rFonts w:ascii="Arial" w:hAnsi="Arial" w:cs="Arial"/>
          <w:bCs/>
          <w:sz w:val="20"/>
          <w:szCs w:val="20"/>
        </w:rPr>
        <w:t>Física</w:t>
      </w:r>
      <w:r w:rsidRPr="00FA379D">
        <w:rPr>
          <w:rFonts w:ascii="Arial" w:hAnsi="Arial" w:cs="Arial"/>
          <w:bCs/>
          <w:sz w:val="20"/>
          <w:szCs w:val="20"/>
        </w:rPr>
        <w:t xml:space="preserve"> Educativa de Guanajuato se encuentra en Proceso de Extinción y está </w:t>
      </w:r>
      <w:r w:rsidRPr="00FA379D">
        <w:rPr>
          <w:rFonts w:ascii="Arial" w:hAnsi="Arial" w:cs="Arial"/>
          <w:b/>
          <w:sz w:val="20"/>
          <w:szCs w:val="20"/>
        </w:rPr>
        <w:t>ACTIVO</w:t>
      </w:r>
      <w:r w:rsidRPr="00FA379D">
        <w:rPr>
          <w:rFonts w:ascii="Arial" w:hAnsi="Arial" w:cs="Arial"/>
          <w:bCs/>
          <w:sz w:val="20"/>
          <w:szCs w:val="20"/>
        </w:rPr>
        <w:t xml:space="preserve">, cumpliendo con los procesos, obligaciones y/o actividades señaladas por las autoridades competentes, para una vez finalizado este proceso, el INIFEG, entre en Liquidación, y de pie a trámites de carácter Fiscal, Jurídico, Contable y  presupuestal y en lo subsecuente concluya mediante la Publicación en el </w:t>
      </w:r>
      <w:r w:rsidRPr="00FA379D">
        <w:rPr>
          <w:rFonts w:ascii="Arial" w:hAnsi="Arial" w:cs="Arial"/>
          <w:i/>
          <w:iCs/>
          <w:sz w:val="20"/>
          <w:szCs w:val="20"/>
        </w:rPr>
        <w:t>Periódico Oficial del GOBIERNO DEL ESTADO</w:t>
      </w:r>
      <w:r w:rsidR="00DB3F4E">
        <w:rPr>
          <w:rFonts w:ascii="Arial" w:hAnsi="Arial" w:cs="Arial"/>
          <w:i/>
          <w:iCs/>
          <w:sz w:val="20"/>
          <w:szCs w:val="20"/>
        </w:rPr>
        <w:t xml:space="preserve"> </w:t>
      </w:r>
      <w:r w:rsidRPr="00FA379D">
        <w:rPr>
          <w:rFonts w:ascii="Arial" w:hAnsi="Arial" w:cs="Arial"/>
          <w:i/>
          <w:iCs/>
          <w:sz w:val="20"/>
          <w:szCs w:val="20"/>
        </w:rPr>
        <w:t>DE GUANAJUATO, que el INIFEG ha sido LIQUIDADO.</w:t>
      </w:r>
    </w:p>
    <w:p w14:paraId="2A4CA81B" w14:textId="77777777" w:rsidR="00DB3F4E" w:rsidRPr="004E151F" w:rsidRDefault="00DB3F4E" w:rsidP="00B57AF7">
      <w:pPr>
        <w:tabs>
          <w:tab w:val="left" w:leader="underscore" w:pos="9639"/>
        </w:tabs>
        <w:jc w:val="both"/>
        <w:rPr>
          <w:rFonts w:ascii="Arial" w:hAnsi="Arial" w:cs="Arial"/>
          <w:sz w:val="20"/>
          <w:szCs w:val="20"/>
        </w:rPr>
      </w:pPr>
    </w:p>
    <w:bookmarkEnd w:id="1"/>
    <w:p w14:paraId="51C7D814" w14:textId="77777777" w:rsidR="00B57AF7" w:rsidRPr="00E74967" w:rsidRDefault="00B57AF7" w:rsidP="00B57AF7">
      <w:pPr>
        <w:tabs>
          <w:tab w:val="left" w:leader="underscore" w:pos="9639"/>
        </w:tabs>
        <w:spacing w:after="0" w:line="240" w:lineRule="auto"/>
        <w:jc w:val="both"/>
        <w:rPr>
          <w:rFonts w:cs="Calibri"/>
        </w:rPr>
      </w:pPr>
      <w:r w:rsidRPr="00E74967">
        <w:rPr>
          <w:rFonts w:cs="Calibri"/>
        </w:rPr>
        <w:lastRenderedPageBreak/>
        <w:t>Se informará sobre:</w:t>
      </w:r>
    </w:p>
    <w:p w14:paraId="7AB94B42" w14:textId="77777777" w:rsidR="00B57AF7" w:rsidRPr="00E74967" w:rsidRDefault="00B57AF7" w:rsidP="00B57AF7">
      <w:pPr>
        <w:tabs>
          <w:tab w:val="left" w:leader="underscore" w:pos="9639"/>
        </w:tabs>
        <w:spacing w:after="0" w:line="240" w:lineRule="auto"/>
        <w:jc w:val="both"/>
        <w:rPr>
          <w:rFonts w:cs="Calibri"/>
        </w:rPr>
      </w:pPr>
    </w:p>
    <w:p w14:paraId="31891492" w14:textId="77777777" w:rsidR="00B57AF7" w:rsidRPr="00065CDB" w:rsidRDefault="00B57AF7" w:rsidP="00B57AF7">
      <w:pPr>
        <w:tabs>
          <w:tab w:val="left" w:leader="underscore" w:pos="9639"/>
        </w:tabs>
        <w:spacing w:after="0" w:line="240" w:lineRule="auto"/>
        <w:jc w:val="both"/>
        <w:rPr>
          <w:rFonts w:cs="Calibri"/>
        </w:rPr>
      </w:pPr>
      <w:bookmarkStart w:id="2" w:name="_Hlk125634275"/>
      <w:bookmarkStart w:id="3" w:name="_Hlk125634283"/>
      <w:r w:rsidRPr="00FA379D">
        <w:rPr>
          <w:rFonts w:ascii="Arial" w:hAnsi="Arial" w:cs="Arial"/>
          <w:b/>
          <w:sz w:val="20"/>
          <w:szCs w:val="20"/>
        </w:rPr>
        <w:t>a)</w:t>
      </w:r>
      <w:r w:rsidRPr="00FA379D">
        <w:rPr>
          <w:rFonts w:ascii="Arial" w:hAnsi="Arial" w:cs="Arial"/>
          <w:sz w:val="20"/>
          <w:szCs w:val="20"/>
        </w:rPr>
        <w:t xml:space="preserve"> Fecha de creación del ente.</w:t>
      </w:r>
    </w:p>
    <w:p w14:paraId="72E6E69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21 de octubre de 2008 mediante Decreto Gubernativo Núm.83 publicado en el DOF del 21 de octubre del 2008</w:t>
      </w:r>
    </w:p>
    <w:p w14:paraId="1F297950" w14:textId="77777777" w:rsidR="00B57AF7" w:rsidRPr="00FA379D" w:rsidRDefault="00B57AF7" w:rsidP="00B57AF7">
      <w:pPr>
        <w:tabs>
          <w:tab w:val="left" w:leader="underscore" w:pos="9639"/>
        </w:tabs>
        <w:jc w:val="both"/>
        <w:rPr>
          <w:rFonts w:ascii="Arial" w:hAnsi="Arial" w:cs="Arial"/>
          <w:sz w:val="20"/>
          <w:szCs w:val="20"/>
        </w:rPr>
      </w:pPr>
      <w:bookmarkStart w:id="4" w:name="_Hlk30594446"/>
      <w:bookmarkStart w:id="5" w:name="_Hlk77667301"/>
      <w:bookmarkStart w:id="6" w:name="_Hlk30594461"/>
      <w:bookmarkStart w:id="7" w:name="_Hlk37984934"/>
      <w:r w:rsidRPr="00FA379D">
        <w:rPr>
          <w:rFonts w:ascii="Arial" w:hAnsi="Arial" w:cs="Arial"/>
          <w:b/>
          <w:sz w:val="20"/>
          <w:szCs w:val="20"/>
        </w:rPr>
        <w:t>b)</w:t>
      </w:r>
      <w:r w:rsidRPr="00FA379D">
        <w:rPr>
          <w:rFonts w:ascii="Arial" w:hAnsi="Arial" w:cs="Arial"/>
          <w:sz w:val="20"/>
          <w:szCs w:val="20"/>
        </w:rPr>
        <w:t xml:space="preserve"> Principales cambios en su estructura (interna históricamente).</w:t>
      </w:r>
    </w:p>
    <w:p w14:paraId="151FC41D"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inició operaciones con diecinueve plazas.</w:t>
      </w:r>
    </w:p>
    <w:p w14:paraId="7EB33C09" w14:textId="77777777" w:rsidR="00B57AF7" w:rsidRPr="00FA379D" w:rsidRDefault="00B57AF7" w:rsidP="00B57AF7">
      <w:pPr>
        <w:tabs>
          <w:tab w:val="left" w:leader="underscore" w:pos="9639"/>
        </w:tabs>
        <w:jc w:val="both"/>
        <w:rPr>
          <w:rFonts w:ascii="Arial" w:hAnsi="Arial" w:cs="Arial"/>
          <w:sz w:val="20"/>
          <w:szCs w:val="20"/>
        </w:rPr>
      </w:pPr>
      <w:bookmarkStart w:id="8" w:name="_Hlk85201731"/>
      <w:bookmarkStart w:id="9" w:name="_Hlk69711708"/>
      <w:r w:rsidRPr="00FA379D">
        <w:rPr>
          <w:rFonts w:ascii="Arial" w:hAnsi="Arial" w:cs="Arial"/>
          <w:sz w:val="20"/>
          <w:szCs w:val="20"/>
        </w:rPr>
        <w:t>En el mes de junio de 2010 se autoriza la cancelación de 1 plaza nivel 9 para re tabular a 3 jefes de departamento a coordinadores.</w:t>
      </w:r>
    </w:p>
    <w:p w14:paraId="3D132B9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Para el primero de enero de 2011 se le autorizaron veintitrés nuevas plazas, haciendo un total de cuarenta y una.</w:t>
      </w:r>
    </w:p>
    <w:p w14:paraId="237D1A1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octubre del ejercicio 2011 se autoriza por parte de la Secretaría de Finanzas y Administración la Autorización de la Retabulación de los Coordinadores a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w:t>
      </w:r>
    </w:p>
    <w:p w14:paraId="115F18C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2013</w:t>
      </w:r>
    </w:p>
    <w:p w14:paraId="0846997C"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agosto se autoriza el cambio de la plaza de secretaria de la Dirección de Planeación a la Dirección General, la plaza de Encargado de Sistemas de Dirección General a Dirección Administrativa y la plaza de Operador de Sistemas de la Dirección de Planeación a la Dirección Administrativa.</w:t>
      </w:r>
    </w:p>
    <w:p w14:paraId="177AE1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octubre de 2013 se autoriza por parte de la Secretaría de Finanzas Inversión y Administración la creación de la plaza de Coordinador de Comunicación Social nivel 11 y se cancelan dos plazas nivel 7 y 4, haciendo un total de cuarenta plazas.</w:t>
      </w:r>
    </w:p>
    <w:p w14:paraId="603AC7B8" w14:textId="77777777" w:rsidR="00B57AF7" w:rsidRPr="00FA379D" w:rsidRDefault="00B57AF7" w:rsidP="00B57AF7">
      <w:pPr>
        <w:tabs>
          <w:tab w:val="left" w:leader="underscore" w:pos="9639"/>
        </w:tabs>
        <w:jc w:val="both"/>
        <w:rPr>
          <w:rFonts w:ascii="Arial" w:hAnsi="Arial" w:cs="Arial"/>
          <w:b/>
          <w:sz w:val="20"/>
          <w:szCs w:val="20"/>
        </w:rPr>
      </w:pPr>
      <w:bookmarkStart w:id="10" w:name="_Hlk22045039"/>
      <w:bookmarkStart w:id="11" w:name="_Hlk14084456"/>
      <w:r w:rsidRPr="00FA379D">
        <w:rPr>
          <w:rFonts w:ascii="Arial" w:hAnsi="Arial" w:cs="Arial"/>
          <w:b/>
          <w:sz w:val="20"/>
          <w:szCs w:val="20"/>
        </w:rPr>
        <w:t>2014</w:t>
      </w:r>
    </w:p>
    <w:p w14:paraId="4A0CD0A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2014 se autoriza la retabulación de dos plazas mediante movimiento compensado realizando la democión de un nivel 11 a 9 y la retabulación de una 9 a 11.</w:t>
      </w:r>
    </w:p>
    <w:p w14:paraId="68ACBB2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febrero de 2014 se autoriza la retabulación de una plaza de nivel 15 a 16</w:t>
      </w:r>
    </w:p>
    <w:p w14:paraId="4595B5D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abril de 2014 se autoriza por parte de la Secretaría de Finanzas Inversión y Administración la democión de dos plazas de supervisores de obra de nivel 8 a 7, la retabulación de una plaza nivel 3 a 4 y el cambio del Área de Costos de la Dirección Técnica a la Dirección de Planeación.</w:t>
      </w:r>
      <w:bookmarkEnd w:id="2"/>
    </w:p>
    <w:p w14:paraId="1B6EDD8B" w14:textId="77777777" w:rsidR="00B57AF7" w:rsidRPr="00FA379D" w:rsidRDefault="00B57AF7" w:rsidP="00B57AF7">
      <w:pPr>
        <w:tabs>
          <w:tab w:val="left" w:leader="underscore" w:pos="9639"/>
        </w:tabs>
        <w:jc w:val="both"/>
        <w:rPr>
          <w:rFonts w:ascii="Arial" w:hAnsi="Arial" w:cs="Arial"/>
          <w:sz w:val="20"/>
          <w:szCs w:val="20"/>
        </w:rPr>
      </w:pPr>
      <w:bookmarkStart w:id="12" w:name="_Hlk6143189"/>
      <w:bookmarkEnd w:id="4"/>
      <w:r w:rsidRPr="00FA379D">
        <w:rPr>
          <w:rFonts w:ascii="Arial" w:hAnsi="Arial" w:cs="Arial"/>
          <w:sz w:val="20"/>
          <w:szCs w:val="20"/>
        </w:rPr>
        <w:t>En julio de 2014 se autoriza el cambio de la plaza de Supervisor de Obra de Dirección Técnica a Dirección de Planeación como Operador de Costos realizando la democión de nivel 8 a 7, la retabulación de la plaza de Estructurista de la Dirección de Planeación de nivel 7 a 8 y la cancelación de la plaza Jefe de Proyectos de Infraestructura de nivel medio superior y superior nivel 9, creación de la plaza Auxiliar de jefe de proyectos de infraestructura educativa nivel medio superior y superior nivel 4 y retabulación de la plaza de la plaza Subcoordinador de Zona C a nivel 9.</w:t>
      </w:r>
      <w:bookmarkEnd w:id="3"/>
      <w:bookmarkEnd w:id="5"/>
    </w:p>
    <w:p w14:paraId="0735D373" w14:textId="77777777" w:rsidR="00B57AF7" w:rsidRPr="00FA379D" w:rsidRDefault="00B57AF7" w:rsidP="00B57AF7">
      <w:pPr>
        <w:tabs>
          <w:tab w:val="left" w:leader="underscore" w:pos="9639"/>
        </w:tabs>
        <w:jc w:val="both"/>
        <w:rPr>
          <w:rFonts w:ascii="Arial" w:hAnsi="Arial" w:cs="Arial"/>
          <w:sz w:val="20"/>
          <w:szCs w:val="20"/>
        </w:rPr>
      </w:pPr>
      <w:bookmarkStart w:id="13" w:name="_Hlk125634296"/>
      <w:bookmarkStart w:id="14" w:name="_Hlk125634307"/>
      <w:bookmarkEnd w:id="6"/>
      <w:bookmarkEnd w:id="8"/>
      <w:r w:rsidRPr="00FA379D">
        <w:rPr>
          <w:rFonts w:ascii="Arial" w:hAnsi="Arial" w:cs="Arial"/>
          <w:sz w:val="20"/>
          <w:szCs w:val="20"/>
        </w:rPr>
        <w:t xml:space="preserve">En el mes de octubre del mismo año se autoriza por parte de la Secretaría de Finanzas Inversión y Administración la retabulación de nivel 16 a 17 y el cambio de la Plaza de Proyectista de la Dirección de Planeación a la Dirección Técnica como </w:t>
      </w:r>
      <w:proofErr w:type="gramStart"/>
      <w:r w:rsidRPr="00FA379D">
        <w:rPr>
          <w:rFonts w:ascii="Arial" w:hAnsi="Arial" w:cs="Arial"/>
          <w:sz w:val="20"/>
          <w:szCs w:val="20"/>
        </w:rPr>
        <w:t>Jefe</w:t>
      </w:r>
      <w:proofErr w:type="gramEnd"/>
      <w:r w:rsidRPr="00FA379D">
        <w:rPr>
          <w:rFonts w:ascii="Arial" w:hAnsi="Arial" w:cs="Arial"/>
          <w:sz w:val="20"/>
          <w:szCs w:val="20"/>
        </w:rPr>
        <w:t xml:space="preserve"> de Seguimiento y Control de Obra.</w:t>
      </w:r>
      <w:bookmarkEnd w:id="9"/>
    </w:p>
    <w:bookmarkEnd w:id="7"/>
    <w:p w14:paraId="76A3D82C" w14:textId="77777777" w:rsidR="00DB3F4E" w:rsidRDefault="00DB3F4E" w:rsidP="00B57AF7">
      <w:pPr>
        <w:tabs>
          <w:tab w:val="left" w:leader="underscore" w:pos="9639"/>
        </w:tabs>
        <w:jc w:val="both"/>
        <w:rPr>
          <w:rFonts w:ascii="Arial" w:hAnsi="Arial" w:cs="Arial"/>
          <w:b/>
          <w:bCs/>
          <w:sz w:val="20"/>
          <w:szCs w:val="20"/>
        </w:rPr>
      </w:pPr>
    </w:p>
    <w:p w14:paraId="36FD8DDD" w14:textId="1B4D1178" w:rsidR="00B57AF7" w:rsidRPr="00FA379D" w:rsidRDefault="00B57AF7" w:rsidP="00B57AF7">
      <w:pPr>
        <w:tabs>
          <w:tab w:val="left" w:leader="underscore" w:pos="9639"/>
        </w:tabs>
        <w:jc w:val="both"/>
        <w:rPr>
          <w:rFonts w:ascii="Arial" w:hAnsi="Arial" w:cs="Arial"/>
          <w:b/>
          <w:bCs/>
          <w:sz w:val="20"/>
          <w:szCs w:val="20"/>
        </w:rPr>
      </w:pPr>
      <w:r w:rsidRPr="00FA379D">
        <w:rPr>
          <w:rFonts w:ascii="Arial" w:hAnsi="Arial" w:cs="Arial"/>
          <w:b/>
          <w:bCs/>
          <w:sz w:val="20"/>
          <w:szCs w:val="20"/>
        </w:rPr>
        <w:lastRenderedPageBreak/>
        <w:t>2015</w:t>
      </w:r>
    </w:p>
    <w:p w14:paraId="38381BC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En el mes de mayo de 2015 se autoriza por parte de la Secretaría de Finanzas Inversión y Administración el cambio de la Plaza Auxiliar Administrativo de la Dirección General a la Dirección Administrativa.</w:t>
      </w:r>
    </w:p>
    <w:p w14:paraId="5B8E2F27"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 el mes de agosto de 2015 se autoriza por parte de la Secretaría de Finanzas Inversión y Administración la retabulación de doce plazas, de las cuales cuatro son de los </w:t>
      </w:r>
      <w:proofErr w:type="gramStart"/>
      <w:r w:rsidRPr="00FA379D">
        <w:rPr>
          <w:rFonts w:ascii="Arial" w:hAnsi="Arial" w:cs="Arial"/>
          <w:sz w:val="20"/>
          <w:szCs w:val="20"/>
        </w:rPr>
        <w:t>Directores</w:t>
      </w:r>
      <w:proofErr w:type="gramEnd"/>
      <w:r w:rsidRPr="00FA379D">
        <w:rPr>
          <w:rFonts w:ascii="Arial" w:hAnsi="Arial" w:cs="Arial"/>
          <w:sz w:val="20"/>
          <w:szCs w:val="20"/>
        </w:rPr>
        <w:t xml:space="preserve"> de Área de nivel 12 a 13, dos Jefes de Proyectos de nivel 8 a 9, dos jefes de costos de nivel 7 a 9, dos Coordinadores de Supervisión de Obra de nivel 7 y 8 a nivel 9 ambas, del Coordinador de Recursos Financieros de nivel 7 a 9 y del Coordinador de Recursos de Inversión de nivel 8 a 9.</w:t>
      </w:r>
      <w:bookmarkEnd w:id="10"/>
      <w:bookmarkEnd w:id="11"/>
      <w:bookmarkEnd w:id="12"/>
    </w:p>
    <w:p w14:paraId="78B3DC2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2016</w:t>
      </w:r>
    </w:p>
    <w:p w14:paraId="2711E770"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mayo de 2016 se autorizan por parte de la Secretaría de Finanzas Inversión y Administración la creación de treinta y seis plazas, una Auxiliar de Programas de Infraestructura Física Educativa nivel 6, una Coordinador de Enlace nivel 8, una Coordinador de Licitaciones Estatal y Federal nivel 9, una Coordinador de Supervisión de Obra Región VI, VII y VIII nivel 9, una Coordinador Jurídico nivel 9, una Coordinador de Control Técnico nivel 6, una Director de Validaciones y Programas Especiales nivel 11, una Enlace de Planeación nivel 6, una Responsable de Contratos nivel 9, una Responsable de Estimaciones nivel 6, una Responsable de Oficialía de Partes nivel 2, dos Responsable de Recursos de Inversión nivel 6, dos Supervisor de Costos nivel 6, una Supervisor de Expedientes Técnicos nivel 6,  trece Supervisor de Obra nivel 6 y siete Supervisor de Proyectos.</w:t>
      </w:r>
    </w:p>
    <w:p w14:paraId="74E885B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 xml:space="preserve">En el mes de junio de 2016, se autoriza por parte de la Secretaría de Finanzas Inversión y Administración la creación de cuatro nuevas plazas, un Coordinador de Diagnóstico nivel 9, un </w:t>
      </w:r>
      <w:proofErr w:type="gramStart"/>
      <w:r w:rsidRPr="00FA379D">
        <w:rPr>
          <w:rFonts w:ascii="Arial" w:hAnsi="Arial" w:cs="Arial"/>
          <w:bCs/>
          <w:sz w:val="20"/>
          <w:szCs w:val="20"/>
        </w:rPr>
        <w:t>Jefe</w:t>
      </w:r>
      <w:proofErr w:type="gramEnd"/>
      <w:r w:rsidRPr="00FA379D">
        <w:rPr>
          <w:rFonts w:ascii="Arial" w:hAnsi="Arial" w:cs="Arial"/>
          <w:bCs/>
          <w:sz w:val="20"/>
          <w:szCs w:val="20"/>
        </w:rPr>
        <w:t xml:space="preserve"> de Costos nivel 8, un jefe de proyectos nivel 8 y un Programador de Sistemas de Control de Obra, así como la retabulación de la plaza Coordinador de Control Técnico de nivel 6 a 8.</w:t>
      </w:r>
    </w:p>
    <w:p w14:paraId="175F532B"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2016 se autoriza por parte de Secretaría de Finanzas Inversión y Administración la transferencia de una plaza Auxiliar Administrativo nivel 4, del Instituto a la nueva Unidad de Transparencia y Archivos del Poder Ejecutivo (UTAPE).</w:t>
      </w:r>
      <w:bookmarkEnd w:id="13"/>
    </w:p>
    <w:p w14:paraId="3F065264"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2017</w:t>
      </w:r>
    </w:p>
    <w:p w14:paraId="7093A1E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febrero de 2017, la Secretaría de Finanzas Inversión y Administración autoriza cambio de jefe y de unidad organizativa de tres puestos y un cambio de datos presupuestales.</w:t>
      </w:r>
    </w:p>
    <w:p w14:paraId="6AB68051"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2018</w:t>
      </w:r>
    </w:p>
    <w:p w14:paraId="76659131"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2018, la Secretaría de Finanzas Inversión y Administración autorizo la retabulación de treinta y una plazas de nivel 6 a nivel 7 y una de nivel 11 a nivel 12.</w:t>
      </w:r>
    </w:p>
    <w:p w14:paraId="318008FA" w14:textId="77777777" w:rsidR="00B57AF7" w:rsidRPr="00FA379D" w:rsidRDefault="00B57AF7" w:rsidP="00B57AF7">
      <w:pPr>
        <w:tabs>
          <w:tab w:val="left" w:leader="underscore" w:pos="9639"/>
        </w:tabs>
        <w:jc w:val="both"/>
        <w:rPr>
          <w:rFonts w:ascii="Arial" w:hAnsi="Arial" w:cs="Arial"/>
          <w:bCs/>
          <w:sz w:val="20"/>
          <w:szCs w:val="20"/>
        </w:rPr>
      </w:pPr>
    </w:p>
    <w:bookmarkEnd w:id="14"/>
    <w:p w14:paraId="17E5222F"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noviembre de 2018 la Secretaría de Finanzas Inversión y Administración autorizo la cancelación de una plaza nivel 7 y retabulación de dos plazas nivel 9 a 10 y una plaza nivel 8 a 9.</w:t>
      </w:r>
    </w:p>
    <w:p w14:paraId="4C5D23DD"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2018 la Secretaría de Finanzas Inversión y Administración autoriza la transferencia de una plaza de Coordinador de Comunicación Social nivel 11 a la Coordinación de Comunicación Social.</w:t>
      </w:r>
    </w:p>
    <w:p w14:paraId="1B161ED8" w14:textId="77777777" w:rsidR="00DB3F4E" w:rsidRDefault="00DB3F4E" w:rsidP="00B57AF7">
      <w:pPr>
        <w:tabs>
          <w:tab w:val="left" w:leader="underscore" w:pos="9639"/>
        </w:tabs>
        <w:jc w:val="both"/>
        <w:rPr>
          <w:rFonts w:ascii="Arial" w:hAnsi="Arial" w:cs="Arial"/>
          <w:b/>
          <w:sz w:val="20"/>
          <w:szCs w:val="20"/>
        </w:rPr>
      </w:pPr>
    </w:p>
    <w:p w14:paraId="2C35B75E" w14:textId="06A8F6F1"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lastRenderedPageBreak/>
        <w:t>2019</w:t>
      </w:r>
    </w:p>
    <w:p w14:paraId="23C86213"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agosto de 2019 la Secretaría de Finanzas Inversión y Administración autorizo cambios estructurales, cinco cambios de denominación funcional, trece cambios de unidad organizativa y jefe inmediato, la creación de una unidad organizativa, y tres cambios de datos presupuestales.</w:t>
      </w:r>
    </w:p>
    <w:p w14:paraId="59672CF8"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2021</w:t>
      </w:r>
    </w:p>
    <w:p w14:paraId="66351D87"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2021 la Secretaría de Finanzas Inversión y Administración autoriza la cancelación de seis contratos de honorarios asimilados a salarios y la creación de cuatro plazas definitivas, una Asistente Técnico nivel 5, una Coordinadora Operativa Jurídica nivel 7, una Coordinador de lo Contencioso nivel 7 y una Coordinador de Sistemas para Control de Obra nivel 9.</w:t>
      </w:r>
    </w:p>
    <w:p w14:paraId="1EBAB26A"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diciembre de 2021 la Secretaría de Finanzas Inversión y Administración autoriza la cancelación de tres puestos definitivos, un nivel nueve y dos niveles siete y la cancelación de trece contratos de honorarios asimilados a salarios.</w:t>
      </w:r>
    </w:p>
    <w:p w14:paraId="7B5B5556" w14:textId="77777777" w:rsidR="00B57AF7" w:rsidRPr="00FA379D" w:rsidRDefault="00B57AF7" w:rsidP="00B57AF7">
      <w:pPr>
        <w:tabs>
          <w:tab w:val="left" w:leader="underscore" w:pos="9639"/>
        </w:tabs>
        <w:jc w:val="both"/>
        <w:rPr>
          <w:rFonts w:ascii="Arial" w:hAnsi="Arial" w:cs="Arial"/>
          <w:b/>
          <w:sz w:val="20"/>
          <w:szCs w:val="20"/>
        </w:rPr>
      </w:pPr>
      <w:r w:rsidRPr="00FA379D">
        <w:rPr>
          <w:rFonts w:ascii="Arial" w:hAnsi="Arial" w:cs="Arial"/>
          <w:b/>
          <w:sz w:val="20"/>
          <w:szCs w:val="20"/>
        </w:rPr>
        <w:t>2022</w:t>
      </w:r>
    </w:p>
    <w:p w14:paraId="79E5B35C" w14:textId="77777777" w:rsidR="00B57AF7" w:rsidRPr="00FA379D" w:rsidRDefault="00B57AF7" w:rsidP="00B57AF7">
      <w:pPr>
        <w:tabs>
          <w:tab w:val="left" w:leader="underscore" w:pos="9639"/>
        </w:tabs>
        <w:jc w:val="both"/>
        <w:rPr>
          <w:rFonts w:ascii="Arial" w:hAnsi="Arial" w:cs="Arial"/>
          <w:bCs/>
          <w:sz w:val="20"/>
          <w:szCs w:val="20"/>
        </w:rPr>
      </w:pPr>
      <w:r w:rsidRPr="00FA379D">
        <w:rPr>
          <w:rFonts w:ascii="Arial" w:hAnsi="Arial" w:cs="Arial"/>
          <w:bCs/>
          <w:sz w:val="20"/>
          <w:szCs w:val="20"/>
        </w:rPr>
        <w:t>En el mes de julio de 2022 la Secretaría de Finanzas Inversión y Administración valida mediante el Sistema Rector SAP el cambio estructural mediante el cual se transfieren setenta y siete puestos definitivos y cincuenta y tres contratos de honorarios asimilados a salarios de la Sociedad IIEG a la Sociedad GEG.</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5"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5"/>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AC1B375" w14:textId="77777777" w:rsidR="00B57AF7" w:rsidRDefault="00B57AF7" w:rsidP="00516A8F">
      <w:pPr>
        <w:tabs>
          <w:tab w:val="left" w:leader="underscore" w:pos="9639"/>
        </w:tabs>
        <w:spacing w:after="0" w:line="240" w:lineRule="auto"/>
        <w:jc w:val="both"/>
        <w:rPr>
          <w:rFonts w:cs="Calibri"/>
        </w:rPr>
      </w:pPr>
    </w:p>
    <w:p w14:paraId="56201E2B" w14:textId="540E6871" w:rsidR="00B57AF7" w:rsidRPr="004E151F" w:rsidRDefault="00B57AF7" w:rsidP="00B57AF7">
      <w:pPr>
        <w:tabs>
          <w:tab w:val="left" w:leader="underscore" w:pos="9639"/>
        </w:tabs>
        <w:jc w:val="both"/>
        <w:rPr>
          <w:rFonts w:ascii="Arial" w:hAnsi="Arial" w:cs="Arial"/>
          <w:sz w:val="20"/>
          <w:szCs w:val="20"/>
          <w:u w:val="single"/>
        </w:rPr>
      </w:pPr>
      <w:r w:rsidRPr="00FA379D">
        <w:rPr>
          <w:rFonts w:ascii="Arial" w:hAnsi="Arial" w:cs="Arial"/>
          <w:sz w:val="20"/>
          <w:szCs w:val="20"/>
        </w:rPr>
        <w:t>No aplica para el sector paraestatal</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16"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16"/>
    </w:p>
    <w:p w14:paraId="6C85E52D" w14:textId="77777777" w:rsidR="007D1E76" w:rsidRPr="00E74967" w:rsidRDefault="007D1E76" w:rsidP="00CB41C4">
      <w:pPr>
        <w:tabs>
          <w:tab w:val="left" w:leader="underscore" w:pos="9639"/>
        </w:tabs>
        <w:spacing w:after="0" w:line="240" w:lineRule="auto"/>
        <w:jc w:val="both"/>
        <w:rPr>
          <w:rFonts w:cs="Calibri"/>
        </w:rPr>
      </w:pPr>
    </w:p>
    <w:p w14:paraId="109881B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45B4FE7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Objeto social.</w:t>
      </w:r>
    </w:p>
    <w:p w14:paraId="4B929217" w14:textId="77777777" w:rsidR="00B57AF7" w:rsidRPr="004E151F" w:rsidRDefault="00B57AF7" w:rsidP="00B57AF7">
      <w:pPr>
        <w:tabs>
          <w:tab w:val="left" w:leader="underscore" w:pos="9639"/>
        </w:tabs>
        <w:jc w:val="both"/>
        <w:rPr>
          <w:rFonts w:ascii="Arial" w:hAnsi="Arial" w:cs="Arial"/>
          <w:b/>
          <w:sz w:val="20"/>
          <w:szCs w:val="20"/>
        </w:rPr>
      </w:pPr>
      <w:r w:rsidRPr="00FA379D">
        <w:rPr>
          <w:rFonts w:ascii="Arial" w:hAnsi="Arial" w:cs="Arial"/>
          <w:sz w:val="20"/>
          <w:szCs w:val="20"/>
        </w:rPr>
        <w:t>Ser un Instituto que fortalezca la Infraestructura Educativa en el Estado de Guanajuato trabajando en equipo, mediante la correcta administración de los recursos.</w:t>
      </w:r>
    </w:p>
    <w:p w14:paraId="50FB500D" w14:textId="77777777" w:rsidR="00B57AF7" w:rsidRPr="00FA379D" w:rsidRDefault="00B57AF7" w:rsidP="00B57AF7">
      <w:pPr>
        <w:tabs>
          <w:tab w:val="left" w:leader="underscore" w:pos="9639"/>
        </w:tabs>
        <w:jc w:val="both"/>
        <w:rPr>
          <w:rFonts w:ascii="Arial" w:hAnsi="Arial" w:cs="Arial"/>
          <w:sz w:val="20"/>
          <w:szCs w:val="20"/>
        </w:rPr>
      </w:pPr>
      <w:bookmarkStart w:id="17" w:name="_Hlk53540518"/>
      <w:r w:rsidRPr="00FA379D">
        <w:rPr>
          <w:rFonts w:ascii="Arial" w:hAnsi="Arial" w:cs="Arial"/>
          <w:b/>
          <w:sz w:val="20"/>
          <w:szCs w:val="20"/>
        </w:rPr>
        <w:t>b)</w:t>
      </w:r>
      <w:r w:rsidRPr="00FA379D">
        <w:rPr>
          <w:rFonts w:ascii="Arial" w:hAnsi="Arial" w:cs="Arial"/>
          <w:sz w:val="20"/>
          <w:szCs w:val="20"/>
        </w:rPr>
        <w:t xml:space="preserve"> Principal actividad.</w:t>
      </w:r>
    </w:p>
    <w:p w14:paraId="543AD87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El Instituto de Infraestructura Física Educativa de Guanajuato fue creado para llevar a las comunidades del Estado de Guanajuato edificios con mejor calidad para el desarrollo de la educación de los niños, tiene por objeto llevar a cabo la construcción, reconstrucción, reforzamiento, rehabilitación, habilitación, adecuación, mantenimiento y equipamiento de la infraestructura física educativa del estado de Guanajuato. Tiene a su cargo, dentro de la normatividad aplicable, ejecutar por si o a través de terceros, las obras, servicios, instalaciones, equipamiento y demás acciones que comprenden la infraestructura física educativa</w:t>
      </w:r>
    </w:p>
    <w:p w14:paraId="708E3918"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lastRenderedPageBreak/>
        <w:t>c)</w:t>
      </w:r>
      <w:r w:rsidRPr="00FA379D">
        <w:rPr>
          <w:rFonts w:ascii="Arial" w:hAnsi="Arial" w:cs="Arial"/>
          <w:sz w:val="20"/>
          <w:szCs w:val="20"/>
        </w:rPr>
        <w:t xml:space="preserve"> Ejercicio fiscal</w:t>
      </w:r>
    </w:p>
    <w:p w14:paraId="1B3149F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Enero a </w:t>
      </w:r>
      <w:proofErr w:type="gramStart"/>
      <w:r w:rsidRPr="00FA379D">
        <w:rPr>
          <w:rFonts w:ascii="Arial" w:hAnsi="Arial" w:cs="Arial"/>
          <w:sz w:val="20"/>
          <w:szCs w:val="20"/>
        </w:rPr>
        <w:t>Diciembre</w:t>
      </w:r>
      <w:proofErr w:type="gramEnd"/>
      <w:r w:rsidRPr="00FA379D">
        <w:rPr>
          <w:rFonts w:ascii="Arial" w:hAnsi="Arial" w:cs="Arial"/>
          <w:sz w:val="20"/>
          <w:szCs w:val="20"/>
        </w:rPr>
        <w:t xml:space="preserve"> de 202</w:t>
      </w:r>
      <w:r>
        <w:rPr>
          <w:rFonts w:ascii="Arial" w:hAnsi="Arial" w:cs="Arial"/>
          <w:sz w:val="20"/>
          <w:szCs w:val="20"/>
        </w:rPr>
        <w:t>4</w:t>
      </w:r>
      <w:r w:rsidRPr="00FA379D">
        <w:rPr>
          <w:rFonts w:ascii="Arial" w:hAnsi="Arial" w:cs="Arial"/>
          <w:sz w:val="20"/>
          <w:szCs w:val="20"/>
        </w:rPr>
        <w:t>.</w:t>
      </w:r>
    </w:p>
    <w:p w14:paraId="4CEECF6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Régimen jurídico</w:t>
      </w:r>
    </w:p>
    <w:p w14:paraId="0097CAB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Personas Morales con Fines no Lucrativos.</w:t>
      </w:r>
    </w:p>
    <w:p w14:paraId="5A485A3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Organismo Público descentralizado con personalidad y patrimonio propio</w:t>
      </w:r>
    </w:p>
    <w:p w14:paraId="24BAEA39"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Consideraciones fiscales del ente: Revelar el tipo de contribuciones que esté obligado a pagar o retener.</w:t>
      </w:r>
    </w:p>
    <w:p w14:paraId="31B848A7"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anual donde se informe sobre las retenciones de los trabajadores que recibieron sueldos y salarios y trabajadores asimilados a salarios.</w:t>
      </w:r>
    </w:p>
    <w:p w14:paraId="05C7EE2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Presentar la declaración y pago provisional mensual de Impuesto Sobre la Renta (ISR) por las retenciones realizadas a los trabajadores asimilados a salarios.</w:t>
      </w:r>
    </w:p>
    <w:p w14:paraId="6207626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la declaración mensual del Impuesto sobre Nómina.</w:t>
      </w:r>
      <w:bookmarkStart w:id="18" w:name="_Hlk14084660"/>
      <w:bookmarkEnd w:id="17"/>
    </w:p>
    <w:p w14:paraId="50579B6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Estructura organizacional básica.</w:t>
      </w:r>
    </w:p>
    <w:p w14:paraId="4BF2AEC4" w14:textId="77777777" w:rsidR="00B57AF7" w:rsidRPr="00FA379D" w:rsidRDefault="00B57AF7" w:rsidP="00B57AF7">
      <w:pPr>
        <w:tabs>
          <w:tab w:val="left" w:leader="underscore" w:pos="9639"/>
        </w:tabs>
        <w:jc w:val="both"/>
        <w:rPr>
          <w:rFonts w:ascii="Arial" w:hAnsi="Arial" w:cs="Arial"/>
          <w:sz w:val="20"/>
          <w:szCs w:val="20"/>
        </w:rPr>
      </w:pPr>
      <w:bookmarkStart w:id="19" w:name="_Hlk37984969"/>
      <w:bookmarkStart w:id="20" w:name="_Hlk22045151"/>
      <w:bookmarkStart w:id="21" w:name="_Hlk69711750"/>
      <w:bookmarkStart w:id="22" w:name="_Hlk85201787"/>
      <w:bookmarkEnd w:id="18"/>
      <w:r w:rsidRPr="00FA379D">
        <w:rPr>
          <w:rFonts w:ascii="Arial" w:hAnsi="Arial" w:cs="Arial"/>
          <w:sz w:val="20"/>
          <w:szCs w:val="20"/>
        </w:rPr>
        <w:t xml:space="preserve">El </w:t>
      </w:r>
      <w:r w:rsidRPr="00FA379D">
        <w:rPr>
          <w:rFonts w:ascii="Arial" w:hAnsi="Arial" w:cs="Arial"/>
          <w:b/>
          <w:bCs/>
          <w:color w:val="000000"/>
          <w:sz w:val="20"/>
          <w:szCs w:val="20"/>
          <w:lang w:eastAsia="es-MX"/>
        </w:rPr>
        <w:t>Instituto de Infraestructura Física Educativa de Guanajuato</w:t>
      </w:r>
      <w:r w:rsidRPr="00FA379D">
        <w:rPr>
          <w:rFonts w:ascii="Arial" w:hAnsi="Arial" w:cs="Arial"/>
          <w:color w:val="000000"/>
          <w:sz w:val="20"/>
          <w:szCs w:val="20"/>
          <w:lang w:eastAsia="es-MX"/>
        </w:rPr>
        <w:t xml:space="preserve">, no tiene una estructura organizacional básica, en el periodo </w:t>
      </w:r>
      <w:r w:rsidRPr="00FA379D">
        <w:rPr>
          <w:rFonts w:ascii="Arial" w:hAnsi="Arial" w:cs="Arial"/>
          <w:i/>
          <w:iCs/>
          <w:color w:val="000000"/>
          <w:sz w:val="20"/>
          <w:szCs w:val="20"/>
          <w:lang w:eastAsia="es-MX"/>
        </w:rPr>
        <w:t xml:space="preserve">Enero - </w:t>
      </w:r>
      <w:proofErr w:type="gramStart"/>
      <w:r w:rsidRPr="00FA379D">
        <w:rPr>
          <w:rFonts w:ascii="Arial" w:hAnsi="Arial" w:cs="Arial"/>
          <w:i/>
          <w:iCs/>
          <w:color w:val="000000"/>
          <w:sz w:val="20"/>
          <w:szCs w:val="20"/>
          <w:lang w:eastAsia="es-MX"/>
        </w:rPr>
        <w:t>Diciembre</w:t>
      </w:r>
      <w:proofErr w:type="gramEnd"/>
      <w:r w:rsidRPr="00FA379D">
        <w:rPr>
          <w:rFonts w:ascii="Arial" w:hAnsi="Arial" w:cs="Arial"/>
          <w:i/>
          <w:iCs/>
          <w:color w:val="000000"/>
          <w:sz w:val="20"/>
          <w:szCs w:val="20"/>
          <w:lang w:eastAsia="es-MX"/>
        </w:rPr>
        <w:t xml:space="preserve"> 202</w:t>
      </w:r>
      <w:r>
        <w:rPr>
          <w:rFonts w:ascii="Arial" w:hAnsi="Arial" w:cs="Arial"/>
          <w:i/>
          <w:iCs/>
          <w:color w:val="000000"/>
          <w:sz w:val="20"/>
          <w:szCs w:val="20"/>
          <w:lang w:eastAsia="es-MX"/>
        </w:rPr>
        <w:t>4</w:t>
      </w:r>
      <w:r w:rsidRPr="00FA379D">
        <w:rPr>
          <w:rFonts w:ascii="Arial" w:hAnsi="Arial" w:cs="Arial"/>
          <w:color w:val="000000"/>
          <w:sz w:val="20"/>
          <w:szCs w:val="20"/>
          <w:lang w:eastAsia="es-MX"/>
        </w:rPr>
        <w:t>, en virtud del comienzo del proceso de extinción del Ente, en referencia al Decreto número 6 publicado en el Periódico Oficial del Gobierno del Estado de Guanajuato número 233 Segunda Parte de fecha 23 de noviembre 2021</w:t>
      </w:r>
    </w:p>
    <w:p w14:paraId="38276CF2"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Fideicomisos, mandatos y análogos de los cuales es fideicomitente o fideicomisario</w:t>
      </w:r>
    </w:p>
    <w:p w14:paraId="5B8B4E4A" w14:textId="3AAA0D26" w:rsidR="00B57AF7" w:rsidRPr="004E151F" w:rsidRDefault="00B57AF7" w:rsidP="00B57AF7">
      <w:pPr>
        <w:jc w:val="both"/>
        <w:rPr>
          <w:rFonts w:ascii="Arial" w:hAnsi="Arial" w:cs="Arial"/>
          <w:color w:val="000000"/>
          <w:sz w:val="20"/>
          <w:szCs w:val="20"/>
          <w:lang w:eastAsia="es-MX"/>
        </w:rPr>
      </w:pPr>
      <w:r w:rsidRPr="00FA379D">
        <w:rPr>
          <w:rFonts w:ascii="Arial" w:hAnsi="Arial" w:cs="Arial"/>
          <w:color w:val="000000"/>
          <w:sz w:val="20"/>
          <w:szCs w:val="20"/>
          <w:lang w:eastAsia="es-MX"/>
        </w:rPr>
        <w:t>Este Instituto de Infraestructura Física Educativa de Guanajuato no cuenta con Fideicomisos</w:t>
      </w:r>
      <w:bookmarkEnd w:id="19"/>
      <w:bookmarkEnd w:id="20"/>
      <w:bookmarkEnd w:id="21"/>
      <w:r w:rsidR="00DB3F4E">
        <w:rPr>
          <w:rFonts w:ascii="Arial" w:hAnsi="Arial" w:cs="Arial"/>
          <w:color w:val="000000"/>
          <w:sz w:val="20"/>
          <w:szCs w:val="20"/>
          <w:lang w:eastAsia="es-MX"/>
        </w:rPr>
        <w:t>.</w:t>
      </w:r>
    </w:p>
    <w:bookmarkEnd w:id="22"/>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2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23"/>
    </w:p>
    <w:p w14:paraId="2EAE084B" w14:textId="77777777" w:rsidR="00B57AF7" w:rsidRPr="00FA379D" w:rsidRDefault="00B57AF7" w:rsidP="00B57AF7">
      <w:pPr>
        <w:tabs>
          <w:tab w:val="left" w:leader="underscore" w:pos="9639"/>
        </w:tabs>
        <w:jc w:val="both"/>
        <w:rPr>
          <w:rFonts w:ascii="Arial" w:hAnsi="Arial" w:cs="Arial"/>
          <w:sz w:val="20"/>
          <w:szCs w:val="20"/>
        </w:rPr>
      </w:pPr>
      <w:bookmarkStart w:id="24" w:name="_Toc161472870"/>
      <w:r w:rsidRPr="00FA379D">
        <w:rPr>
          <w:rFonts w:ascii="Arial" w:hAnsi="Arial" w:cs="Arial"/>
          <w:sz w:val="20"/>
          <w:szCs w:val="20"/>
        </w:rPr>
        <w:t>Se informará sobre:</w:t>
      </w:r>
    </w:p>
    <w:p w14:paraId="6580FA36"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Si se ha observado la normatividad emitida por el CONAC y las disposiciones legales aplicables.</w:t>
      </w:r>
    </w:p>
    <w:p w14:paraId="200BE91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Las Bases de Preparación de los Estados Financieros observan en cierta medida la normatividad emitida por el CONAC y las disposiciones legales aplicables.</w:t>
      </w:r>
    </w:p>
    <w:p w14:paraId="03F93042" w14:textId="77777777" w:rsidR="00B57AF7" w:rsidRPr="00FA379D" w:rsidRDefault="00B57AF7" w:rsidP="00B57AF7">
      <w:pPr>
        <w:tabs>
          <w:tab w:val="left" w:leader="underscore" w:pos="9639"/>
        </w:tabs>
        <w:jc w:val="both"/>
        <w:rPr>
          <w:rFonts w:ascii="Arial" w:hAnsi="Arial" w:cs="Arial"/>
          <w:sz w:val="20"/>
          <w:szCs w:val="20"/>
        </w:rPr>
      </w:pPr>
      <w:bookmarkStart w:id="25" w:name="_Hlk125634357"/>
      <w:bookmarkStart w:id="26" w:name="_Hlk14084876"/>
      <w:bookmarkStart w:id="27" w:name="_Hlk30594675"/>
      <w:r w:rsidRPr="00FA379D">
        <w:rPr>
          <w:rFonts w:ascii="Arial" w:hAnsi="Arial" w:cs="Arial"/>
          <w:b/>
          <w:sz w:val="20"/>
          <w:szCs w:val="20"/>
        </w:rPr>
        <w:t>b)</w:t>
      </w:r>
      <w:r w:rsidRPr="00FA37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p>
    <w:p w14:paraId="09BD09DB" w14:textId="77777777" w:rsidR="00B57AF7" w:rsidRPr="004E151F"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FA379D">
        <w:rPr>
          <w:rFonts w:ascii="Arial" w:hAnsi="Arial" w:cs="Arial"/>
          <w:sz w:val="20"/>
          <w:szCs w:val="20"/>
        </w:rPr>
        <w:t>los mismos</w:t>
      </w:r>
      <w:proofErr w:type="gramEnd"/>
      <w:r w:rsidRPr="00FA379D">
        <w:rPr>
          <w:rFonts w:ascii="Arial" w:hAnsi="Arial" w:cs="Arial"/>
          <w:sz w:val="20"/>
          <w:szCs w:val="20"/>
        </w:rPr>
        <w:t>.</w:t>
      </w:r>
      <w:bookmarkStart w:id="28" w:name="_Hlk6143307"/>
    </w:p>
    <w:p w14:paraId="342FBAAD" w14:textId="77777777" w:rsidR="00B57AF7" w:rsidRPr="00FA379D" w:rsidRDefault="00B57AF7" w:rsidP="00B57AF7">
      <w:pPr>
        <w:tabs>
          <w:tab w:val="left" w:leader="underscore" w:pos="9639"/>
        </w:tabs>
        <w:jc w:val="both"/>
        <w:rPr>
          <w:rFonts w:ascii="Arial" w:hAnsi="Arial" w:cs="Arial"/>
          <w:sz w:val="20"/>
          <w:szCs w:val="20"/>
        </w:rPr>
      </w:pPr>
      <w:bookmarkStart w:id="29" w:name="_Hlk22045332"/>
      <w:r w:rsidRPr="00FA379D">
        <w:rPr>
          <w:rFonts w:ascii="Arial" w:hAnsi="Arial" w:cs="Arial"/>
          <w:b/>
          <w:sz w:val="20"/>
          <w:szCs w:val="20"/>
        </w:rPr>
        <w:t>c)</w:t>
      </w:r>
      <w:r w:rsidRPr="00FA379D">
        <w:rPr>
          <w:rFonts w:ascii="Arial" w:hAnsi="Arial" w:cs="Arial"/>
          <w:sz w:val="20"/>
          <w:szCs w:val="20"/>
        </w:rPr>
        <w:t xml:space="preserve"> Postulados básicos.</w:t>
      </w:r>
    </w:p>
    <w:p w14:paraId="2619477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lastRenderedPageBreak/>
        <w:t>Las Bases de Preparación de los Estados Financieros aplican los Postulados Básicos de Registro Contable, el devengo del ingreso, entre otros, aún se encuentra en fase de desarrollo de los diferentes rubros de la información financiera.</w:t>
      </w:r>
    </w:p>
    <w:p w14:paraId="32D7075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E41FC35"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aplica normatividad supletoria.</w:t>
      </w:r>
    </w:p>
    <w:p w14:paraId="44756867" w14:textId="77777777" w:rsidR="00B57AF7" w:rsidRPr="00FA379D" w:rsidRDefault="00B57AF7" w:rsidP="00B57AF7">
      <w:pPr>
        <w:tabs>
          <w:tab w:val="left" w:leader="underscore" w:pos="9639"/>
        </w:tabs>
        <w:jc w:val="both"/>
        <w:rPr>
          <w:rFonts w:ascii="Arial" w:hAnsi="Arial" w:cs="Arial"/>
          <w:sz w:val="20"/>
          <w:szCs w:val="20"/>
        </w:rPr>
      </w:pPr>
    </w:p>
    <w:p w14:paraId="673307AA" w14:textId="77777777" w:rsidR="00B57AF7" w:rsidRPr="00FA379D" w:rsidRDefault="00B57AF7" w:rsidP="00B57AF7">
      <w:pPr>
        <w:tabs>
          <w:tab w:val="left" w:leader="underscore" w:pos="9639"/>
        </w:tabs>
        <w:jc w:val="both"/>
        <w:rPr>
          <w:rFonts w:ascii="Arial" w:hAnsi="Arial" w:cs="Arial"/>
          <w:sz w:val="20"/>
          <w:szCs w:val="20"/>
        </w:rPr>
      </w:pPr>
    </w:p>
    <w:p w14:paraId="2BB9F334"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Para las entidades que por primera vez estén implementando el base devengado </w:t>
      </w:r>
      <w:proofErr w:type="gramStart"/>
      <w:r w:rsidRPr="00FA379D">
        <w:rPr>
          <w:rFonts w:ascii="Arial" w:hAnsi="Arial" w:cs="Arial"/>
          <w:sz w:val="20"/>
          <w:szCs w:val="20"/>
        </w:rPr>
        <w:t>de acuerdo a</w:t>
      </w:r>
      <w:proofErr w:type="gramEnd"/>
      <w:r w:rsidRPr="00FA379D">
        <w:rPr>
          <w:rFonts w:ascii="Arial" w:hAnsi="Arial" w:cs="Arial"/>
          <w:sz w:val="20"/>
          <w:szCs w:val="20"/>
        </w:rPr>
        <w:t xml:space="preserve"> la Ley de Contabilidad, deberán:</w:t>
      </w:r>
    </w:p>
    <w:p w14:paraId="17B3E1B1"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*Revelar las nuevas políticas de reconocimiento:</w:t>
      </w:r>
    </w:p>
    <w:p w14:paraId="6AE607EF"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Este instituto ha venido utilizando la base del devengado desde la implementación </w:t>
      </w:r>
      <w:proofErr w:type="gramStart"/>
      <w:r w:rsidRPr="00FA379D">
        <w:rPr>
          <w:rFonts w:ascii="Arial" w:hAnsi="Arial" w:cs="Arial"/>
          <w:sz w:val="20"/>
          <w:szCs w:val="20"/>
        </w:rPr>
        <w:t>del mismo</w:t>
      </w:r>
      <w:proofErr w:type="gramEnd"/>
      <w:r w:rsidRPr="00FA379D">
        <w:rPr>
          <w:rFonts w:ascii="Arial" w:hAnsi="Arial" w:cs="Arial"/>
          <w:sz w:val="20"/>
          <w:szCs w:val="20"/>
        </w:rPr>
        <w:t xml:space="preserve">, por parte de las reglas emitidas por el CONAC y en conjunto con las recomendaciones y modificaciones a los registros contables solicitadas por la </w:t>
      </w:r>
      <w:proofErr w:type="spellStart"/>
      <w:r w:rsidRPr="00FA379D">
        <w:rPr>
          <w:rFonts w:ascii="Arial" w:hAnsi="Arial" w:cs="Arial"/>
          <w:sz w:val="20"/>
          <w:szCs w:val="20"/>
        </w:rPr>
        <w:t>SFIyA</w:t>
      </w:r>
      <w:proofErr w:type="spellEnd"/>
      <w:r w:rsidRPr="00FA379D">
        <w:rPr>
          <w:rFonts w:ascii="Arial" w:hAnsi="Arial" w:cs="Arial"/>
          <w:sz w:val="20"/>
          <w:szCs w:val="20"/>
        </w:rPr>
        <w:t>.</w:t>
      </w:r>
      <w:bookmarkEnd w:id="25"/>
    </w:p>
    <w:p w14:paraId="15CB445A"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*Plan de implementación:</w:t>
      </w:r>
    </w:p>
    <w:bookmarkEnd w:id="26"/>
    <w:p w14:paraId="3209F328" w14:textId="77777777" w:rsidR="00B57AF7" w:rsidRDefault="00B57AF7" w:rsidP="00B57AF7">
      <w:pPr>
        <w:tabs>
          <w:tab w:val="left" w:leader="underscore" w:pos="9639"/>
        </w:tabs>
        <w:jc w:val="both"/>
        <w:rPr>
          <w:rFonts w:ascii="Arial" w:hAnsi="Arial" w:cs="Arial"/>
          <w:sz w:val="20"/>
          <w:szCs w:val="20"/>
        </w:rPr>
      </w:pPr>
      <w:r w:rsidRPr="00C86CBA">
        <w:rPr>
          <w:rFonts w:ascii="Arial" w:hAnsi="Arial" w:cs="Arial"/>
          <w:sz w:val="20"/>
          <w:szCs w:val="20"/>
        </w:rPr>
        <w:t xml:space="preserve">“Esta nota no le aplica al ente público” </w:t>
      </w:r>
    </w:p>
    <w:p w14:paraId="42C223CB"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 xml:space="preserve">*Revelar los cambios en las políticas, la clasificación y medición de </w:t>
      </w:r>
      <w:proofErr w:type="gramStart"/>
      <w:r w:rsidRPr="00FA379D">
        <w:rPr>
          <w:rFonts w:ascii="Arial" w:hAnsi="Arial" w:cs="Arial"/>
          <w:sz w:val="20"/>
          <w:szCs w:val="20"/>
        </w:rPr>
        <w:t>las mismas</w:t>
      </w:r>
      <w:proofErr w:type="gramEnd"/>
      <w:r w:rsidRPr="00FA379D">
        <w:rPr>
          <w:rFonts w:ascii="Arial" w:hAnsi="Arial" w:cs="Arial"/>
          <w:sz w:val="20"/>
          <w:szCs w:val="20"/>
        </w:rPr>
        <w:t>, así como su impacto en la información financiera:</w:t>
      </w:r>
    </w:p>
    <w:p w14:paraId="2CE3E98E"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Firmar los EEFF de los ODES solicitados por el CONAC publicados en el DOF y PO.</w:t>
      </w:r>
    </w:p>
    <w:p w14:paraId="3E83B903" w14:textId="77777777" w:rsidR="00B57AF7" w:rsidRPr="00FA379D" w:rsidRDefault="00B57AF7" w:rsidP="00B57AF7">
      <w:pPr>
        <w:tabs>
          <w:tab w:val="left" w:leader="underscore" w:pos="9639"/>
        </w:tabs>
        <w:jc w:val="both"/>
        <w:rPr>
          <w:rFonts w:ascii="Arial" w:hAnsi="Arial" w:cs="Arial"/>
          <w:sz w:val="20"/>
          <w:szCs w:val="20"/>
        </w:rPr>
      </w:pPr>
      <w:r w:rsidRPr="00FA379D">
        <w:rPr>
          <w:rFonts w:ascii="Arial" w:hAnsi="Arial" w:cs="Arial"/>
          <w:sz w:val="20"/>
          <w:szCs w:val="20"/>
        </w:rPr>
        <w:t>Presentar los últimos estados financieros con la normatividad anteriormente utilizada con las nuevas políticas para fines de comparación en la transición a la base devengado.</w:t>
      </w:r>
      <w:bookmarkEnd w:id="27"/>
      <w:bookmarkEnd w:id="28"/>
      <w:bookmarkEnd w:id="29"/>
    </w:p>
    <w:p w14:paraId="7025E7E0" w14:textId="4C87F38F"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24"/>
    </w:p>
    <w:p w14:paraId="2923A6E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57C5E7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5E44353F" w14:textId="77777777" w:rsidR="0044679A" w:rsidRPr="00FA379D" w:rsidRDefault="0044679A" w:rsidP="0044679A">
      <w:pPr>
        <w:tabs>
          <w:tab w:val="left" w:leader="underscore" w:pos="9639"/>
        </w:tabs>
        <w:jc w:val="both"/>
        <w:rPr>
          <w:rFonts w:ascii="Arial" w:hAnsi="Arial" w:cs="Arial"/>
          <w:sz w:val="20"/>
          <w:szCs w:val="20"/>
        </w:rPr>
      </w:pPr>
      <w:bookmarkStart w:id="30" w:name="_Hlk53540772"/>
      <w:r w:rsidRPr="00FA379D">
        <w:rPr>
          <w:rFonts w:ascii="Arial" w:hAnsi="Arial" w:cs="Arial"/>
          <w:sz w:val="20"/>
          <w:szCs w:val="20"/>
        </w:rPr>
        <w:t>Valor Histórico</w:t>
      </w:r>
    </w:p>
    <w:p w14:paraId="79BB8CEC"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Informar sobre la realización de operaciones en el extranjero y de sus efectos en la información financiera gubernamental:</w:t>
      </w:r>
    </w:p>
    <w:p w14:paraId="2B1A2E2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realiza operaciones en el extranjero.</w:t>
      </w:r>
    </w:p>
    <w:p w14:paraId="266A3251" w14:textId="77777777" w:rsidR="0044679A" w:rsidRPr="00FA379D" w:rsidRDefault="0044679A" w:rsidP="0044679A">
      <w:pPr>
        <w:tabs>
          <w:tab w:val="left" w:leader="underscore" w:pos="9639"/>
        </w:tabs>
        <w:jc w:val="both"/>
        <w:rPr>
          <w:rFonts w:ascii="Arial" w:hAnsi="Arial" w:cs="Arial"/>
          <w:sz w:val="20"/>
          <w:szCs w:val="20"/>
        </w:rPr>
      </w:pPr>
      <w:bookmarkStart w:id="31" w:name="_Hlk45506189"/>
      <w:r w:rsidRPr="00FA379D">
        <w:rPr>
          <w:rFonts w:ascii="Arial" w:hAnsi="Arial" w:cs="Arial"/>
          <w:b/>
          <w:sz w:val="20"/>
          <w:szCs w:val="20"/>
        </w:rPr>
        <w:t>c)</w:t>
      </w:r>
      <w:r w:rsidRPr="00FA379D">
        <w:rPr>
          <w:rFonts w:ascii="Arial" w:hAnsi="Arial" w:cs="Arial"/>
          <w:sz w:val="20"/>
          <w:szCs w:val="20"/>
        </w:rPr>
        <w:t xml:space="preserve"> Método de valuación de la inversión en acciones de Compañías subsidiarias no consolidadas y asociadas:</w:t>
      </w:r>
    </w:p>
    <w:p w14:paraId="53190938"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dichas acciones.</w:t>
      </w:r>
    </w:p>
    <w:p w14:paraId="0283813D"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lastRenderedPageBreak/>
        <w:t>d)</w:t>
      </w:r>
      <w:r w:rsidRPr="00FA379D">
        <w:rPr>
          <w:rFonts w:ascii="Arial" w:hAnsi="Arial" w:cs="Arial"/>
          <w:sz w:val="20"/>
          <w:szCs w:val="20"/>
        </w:rPr>
        <w:t xml:space="preserve"> Sistema y método de valuación de inventarios y costo de lo vendido:</w:t>
      </w:r>
    </w:p>
    <w:p w14:paraId="0A01B71D" w14:textId="77777777" w:rsidR="0044679A" w:rsidRDefault="0044679A" w:rsidP="0044679A">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EDA7E9E"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1F38753E" w14:textId="77777777" w:rsidR="0044679A" w:rsidRDefault="0044679A" w:rsidP="0044679A">
      <w:pPr>
        <w:tabs>
          <w:tab w:val="left" w:leader="underscore" w:pos="9639"/>
        </w:tabs>
        <w:jc w:val="both"/>
        <w:rPr>
          <w:rFonts w:ascii="Arial" w:hAnsi="Arial" w:cs="Arial"/>
          <w:sz w:val="20"/>
          <w:szCs w:val="20"/>
        </w:rPr>
      </w:pPr>
      <w:bookmarkStart w:id="32" w:name="_Hlk85201881"/>
      <w:r w:rsidRPr="00FB26C7">
        <w:rPr>
          <w:rFonts w:ascii="Arial" w:hAnsi="Arial" w:cs="Arial"/>
          <w:sz w:val="20"/>
          <w:szCs w:val="20"/>
        </w:rPr>
        <w:t xml:space="preserve">“Esta nota no le aplica al ente público” </w:t>
      </w:r>
    </w:p>
    <w:p w14:paraId="53F68DD6"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f)</w:t>
      </w:r>
      <w:r w:rsidRPr="00FA379D">
        <w:rPr>
          <w:rFonts w:ascii="Arial" w:hAnsi="Arial" w:cs="Arial"/>
          <w:sz w:val="20"/>
          <w:szCs w:val="20"/>
        </w:rPr>
        <w:t xml:space="preserve"> Provisiones: objetivo de su creación, monto y plazo:</w:t>
      </w:r>
    </w:p>
    <w:p w14:paraId="34AC1B11" w14:textId="77777777" w:rsidR="0044679A" w:rsidRPr="004E151F"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provisiones.</w:t>
      </w:r>
    </w:p>
    <w:p w14:paraId="49972A3A" w14:textId="77777777" w:rsidR="0044679A" w:rsidRPr="00FA379D" w:rsidRDefault="0044679A" w:rsidP="0044679A">
      <w:pPr>
        <w:tabs>
          <w:tab w:val="left" w:leader="underscore" w:pos="9639"/>
        </w:tabs>
        <w:jc w:val="both"/>
        <w:rPr>
          <w:rFonts w:ascii="Arial" w:hAnsi="Arial" w:cs="Arial"/>
          <w:sz w:val="20"/>
          <w:szCs w:val="20"/>
        </w:rPr>
      </w:pPr>
      <w:bookmarkStart w:id="33" w:name="_Hlk14084939"/>
      <w:r w:rsidRPr="00FA379D">
        <w:rPr>
          <w:rFonts w:ascii="Arial" w:hAnsi="Arial" w:cs="Arial"/>
          <w:b/>
          <w:sz w:val="20"/>
          <w:szCs w:val="20"/>
        </w:rPr>
        <w:t>g)</w:t>
      </w:r>
      <w:r w:rsidRPr="00FA379D">
        <w:rPr>
          <w:rFonts w:ascii="Arial" w:hAnsi="Arial" w:cs="Arial"/>
          <w:sz w:val="20"/>
          <w:szCs w:val="20"/>
        </w:rPr>
        <w:t xml:space="preserve"> Reservas: objetivo de su creación, monto y plazo:</w:t>
      </w:r>
    </w:p>
    <w:p w14:paraId="473BBEBF" w14:textId="77777777" w:rsidR="0044679A" w:rsidRPr="00FA379D" w:rsidRDefault="0044679A" w:rsidP="0044679A">
      <w:pPr>
        <w:tabs>
          <w:tab w:val="left" w:leader="underscore" w:pos="9639"/>
        </w:tabs>
        <w:jc w:val="both"/>
        <w:rPr>
          <w:rFonts w:ascii="Arial" w:hAnsi="Arial" w:cs="Arial"/>
          <w:sz w:val="20"/>
          <w:szCs w:val="20"/>
        </w:rPr>
      </w:pPr>
    </w:p>
    <w:p w14:paraId="5A1190C2" w14:textId="77777777" w:rsidR="0044679A" w:rsidRPr="004E151F" w:rsidRDefault="0044679A" w:rsidP="0044679A">
      <w:pPr>
        <w:tabs>
          <w:tab w:val="left" w:leader="underscore" w:pos="9639"/>
        </w:tabs>
        <w:jc w:val="both"/>
        <w:rPr>
          <w:rFonts w:ascii="Arial" w:hAnsi="Arial" w:cs="Arial"/>
          <w:b/>
          <w:sz w:val="20"/>
          <w:szCs w:val="20"/>
        </w:rPr>
      </w:pPr>
      <w:r w:rsidRPr="00FA379D">
        <w:rPr>
          <w:rFonts w:ascii="Arial" w:hAnsi="Arial" w:cs="Arial"/>
          <w:sz w:val="20"/>
          <w:szCs w:val="20"/>
        </w:rPr>
        <w:t>Se realizan las reservas de los recursos comprometidos con algún instrumento legal que avale el derecho jurídico de pago por parte de este Instituto, la mayoría corresponden a los contratos celebrados entre este instituto y los contratistas dados de alta en el padrón de la Secretaría de obra Pública, para llevar a cabo las acciones establecidas en el Programa Anual de Obra que se realiza en conjunto con la Secretaría de educación de Guanajuato.</w:t>
      </w:r>
      <w:bookmarkEnd w:id="30"/>
    </w:p>
    <w:p w14:paraId="6EEB477A" w14:textId="77777777" w:rsidR="0044679A" w:rsidRPr="00FA379D" w:rsidRDefault="0044679A" w:rsidP="0044679A">
      <w:pPr>
        <w:tabs>
          <w:tab w:val="left" w:leader="underscore" w:pos="9639"/>
        </w:tabs>
        <w:jc w:val="both"/>
        <w:rPr>
          <w:rFonts w:ascii="Arial" w:hAnsi="Arial" w:cs="Arial"/>
          <w:sz w:val="20"/>
          <w:szCs w:val="20"/>
        </w:rPr>
      </w:pPr>
      <w:bookmarkStart w:id="34" w:name="_Hlk22045389"/>
      <w:r w:rsidRPr="00FA379D">
        <w:rPr>
          <w:rFonts w:ascii="Arial" w:hAnsi="Arial" w:cs="Arial"/>
          <w:b/>
          <w:sz w:val="20"/>
          <w:szCs w:val="20"/>
        </w:rPr>
        <w:t>h)</w:t>
      </w:r>
      <w:r w:rsidRPr="00FA379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3220DD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5C795741"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i)</w:t>
      </w:r>
      <w:r w:rsidRPr="00FA379D">
        <w:rPr>
          <w:rFonts w:ascii="Arial" w:hAnsi="Arial" w:cs="Arial"/>
          <w:sz w:val="20"/>
          <w:szCs w:val="20"/>
        </w:rPr>
        <w:t xml:space="preserve"> Reclasificaciones: Se deben revelar todos aquellos movimientos entre cuentas por efectos de cambios en los tipos de operaciones:</w:t>
      </w:r>
    </w:p>
    <w:bookmarkEnd w:id="31"/>
    <w:p w14:paraId="36153F44"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registros contables por cargo en cuentas de gasto no correspondidas, o por registros de pago en cuentas de banco no correspondidas.</w:t>
      </w:r>
      <w:bookmarkEnd w:id="32"/>
    </w:p>
    <w:p w14:paraId="6828E7B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Reclasificaciones en cuentas de bancos.</w:t>
      </w:r>
    </w:p>
    <w:p w14:paraId="044D8942"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b/>
          <w:sz w:val="20"/>
          <w:szCs w:val="20"/>
        </w:rPr>
        <w:t>j)</w:t>
      </w:r>
      <w:r w:rsidRPr="00FA379D">
        <w:rPr>
          <w:rFonts w:ascii="Arial" w:hAnsi="Arial" w:cs="Arial"/>
          <w:sz w:val="20"/>
          <w:szCs w:val="20"/>
        </w:rPr>
        <w:t xml:space="preserve"> Depuración y cancelación de saldos:</w:t>
      </w:r>
    </w:p>
    <w:p w14:paraId="2D976A8A" w14:textId="77777777" w:rsidR="0044679A" w:rsidRPr="00FA379D" w:rsidRDefault="0044679A" w:rsidP="0044679A">
      <w:pPr>
        <w:tabs>
          <w:tab w:val="left" w:leader="underscore" w:pos="9639"/>
        </w:tabs>
        <w:jc w:val="both"/>
        <w:rPr>
          <w:rFonts w:ascii="Arial" w:hAnsi="Arial" w:cs="Arial"/>
          <w:sz w:val="20"/>
          <w:szCs w:val="20"/>
        </w:rPr>
      </w:pPr>
      <w:r w:rsidRPr="00FA379D">
        <w:rPr>
          <w:rFonts w:ascii="Arial" w:hAnsi="Arial" w:cs="Arial"/>
          <w:sz w:val="20"/>
          <w:szCs w:val="20"/>
        </w:rPr>
        <w:t xml:space="preserve">Actualmente este Instituto en conjunto con la Dirección de Recursos de la </w:t>
      </w:r>
      <w:proofErr w:type="gramStart"/>
      <w:r w:rsidRPr="00FA379D">
        <w:rPr>
          <w:rFonts w:ascii="Arial" w:hAnsi="Arial" w:cs="Arial"/>
          <w:sz w:val="20"/>
          <w:szCs w:val="20"/>
        </w:rPr>
        <w:t>Secretaria</w:t>
      </w:r>
      <w:proofErr w:type="gramEnd"/>
      <w:r w:rsidRPr="00FA379D">
        <w:rPr>
          <w:rFonts w:ascii="Arial" w:hAnsi="Arial" w:cs="Arial"/>
          <w:sz w:val="20"/>
          <w:szCs w:val="20"/>
        </w:rPr>
        <w:t xml:space="preserve"> de Finanzas se encuentran realizando la depuración de los saldos de las cuentas de nómina derivados del Proceso de creación de este Instituto y pasivos al cierre de obra pública de ejercicios anteriores, ya que en dichos ejercicios el recurso era administrado por la Secretaría de Finanzas Inversión y Administración, pero se encontraba ampliado en el presupuesto de este Instituto</w:t>
      </w:r>
      <w:bookmarkEnd w:id="33"/>
      <w:bookmarkEnd w:id="34"/>
      <w:r w:rsidRPr="00FA379D">
        <w:rPr>
          <w:rFonts w:ascii="Arial" w:hAnsi="Arial" w:cs="Arial"/>
          <w:sz w:val="20"/>
          <w:szCs w:val="20"/>
        </w:rPr>
        <w:t>.</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3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35"/>
    </w:p>
    <w:p w14:paraId="60114D16" w14:textId="77777777" w:rsidR="007D1E76" w:rsidRPr="00E74967" w:rsidRDefault="007D1E76" w:rsidP="00CB41C4">
      <w:pPr>
        <w:tabs>
          <w:tab w:val="left" w:leader="underscore" w:pos="9639"/>
        </w:tabs>
        <w:spacing w:after="0" w:line="240" w:lineRule="auto"/>
        <w:jc w:val="both"/>
        <w:rPr>
          <w:rFonts w:cs="Calibri"/>
        </w:rPr>
      </w:pPr>
    </w:p>
    <w:p w14:paraId="313FEF4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sobre:</w:t>
      </w:r>
    </w:p>
    <w:p w14:paraId="7CCB03D4"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Activos en moneda extranjera:</w:t>
      </w:r>
    </w:p>
    <w:p w14:paraId="135ECD1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lastRenderedPageBreak/>
        <w:t>Este Instituto de Infraestructura Física Educativa de Guanajuato no cuenta con activos en moneda extranjera.</w:t>
      </w:r>
    </w:p>
    <w:p w14:paraId="36EE7C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Pasivos en moneda extranjera:</w:t>
      </w:r>
    </w:p>
    <w:p w14:paraId="76201ECC"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Este Instituto de Infraestructura Física Educativa de Guanajuato no cuenta con pasivos en moneda extranjera.</w:t>
      </w:r>
    </w:p>
    <w:p w14:paraId="494A69A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c) </w:t>
      </w:r>
      <w:r w:rsidRPr="00FA379D">
        <w:rPr>
          <w:rFonts w:ascii="Arial" w:hAnsi="Arial" w:cs="Arial"/>
          <w:sz w:val="20"/>
          <w:szCs w:val="20"/>
        </w:rPr>
        <w:t>Posición en moneda extranjera:</w:t>
      </w:r>
    </w:p>
    <w:p w14:paraId="46C30028" w14:textId="77777777" w:rsidR="00F30FC5" w:rsidRPr="00FA379D" w:rsidRDefault="00F30FC5" w:rsidP="00F30FC5">
      <w:pPr>
        <w:tabs>
          <w:tab w:val="left" w:leader="underscore" w:pos="9639"/>
        </w:tabs>
        <w:jc w:val="both"/>
        <w:rPr>
          <w:rFonts w:ascii="Arial" w:hAnsi="Arial" w:cs="Arial"/>
          <w:b/>
          <w:sz w:val="20"/>
          <w:szCs w:val="20"/>
        </w:rPr>
      </w:pPr>
      <w:r w:rsidRPr="00FA379D">
        <w:rPr>
          <w:rFonts w:ascii="Arial" w:hAnsi="Arial" w:cs="Arial"/>
          <w:sz w:val="20"/>
          <w:szCs w:val="20"/>
        </w:rPr>
        <w:t>Este Instituto de Infraestructura Física Educativa de Guanajuato no cuenta con posición en moneda extranjera.</w:t>
      </w:r>
    </w:p>
    <w:p w14:paraId="41E9E0FD"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Tipo de cambio:</w:t>
      </w:r>
    </w:p>
    <w:p w14:paraId="4469175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EB023E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Equivalente en moneda nacional:</w:t>
      </w:r>
    </w:p>
    <w:p w14:paraId="165DB4C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23ECECB1" w14:textId="77777777" w:rsidR="00F30FC5" w:rsidRPr="00FA379D" w:rsidRDefault="00F30FC5" w:rsidP="00F30FC5">
      <w:pPr>
        <w:tabs>
          <w:tab w:val="left" w:leader="underscore" w:pos="9639"/>
        </w:tabs>
        <w:jc w:val="both"/>
        <w:rPr>
          <w:rFonts w:ascii="Arial" w:hAnsi="Arial" w:cs="Arial"/>
          <w:sz w:val="20"/>
          <w:szCs w:val="20"/>
        </w:rPr>
      </w:pPr>
    </w:p>
    <w:p w14:paraId="5341173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Lo anterior por cada tipo de moneda extranjera que se encuentre en los rubros de activo y pasivo.</w:t>
      </w:r>
    </w:p>
    <w:p w14:paraId="0323AB4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informará sobre los métodos de protección de riesgo por variaciones en el tipo de cambio.</w:t>
      </w:r>
    </w:p>
    <w:p w14:paraId="0A6EEC5C" w14:textId="77777777" w:rsidR="00F30FC5" w:rsidRPr="00E74967" w:rsidRDefault="00F30FC5" w:rsidP="00F30FC5">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3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36"/>
    </w:p>
    <w:p w14:paraId="1C9AE80E" w14:textId="77777777" w:rsidR="007D1E76" w:rsidRPr="00E74967" w:rsidRDefault="007D1E76" w:rsidP="00CB41C4">
      <w:pPr>
        <w:tabs>
          <w:tab w:val="left" w:leader="underscore" w:pos="9639"/>
        </w:tabs>
        <w:spacing w:after="0" w:line="240" w:lineRule="auto"/>
        <w:jc w:val="both"/>
        <w:rPr>
          <w:rFonts w:cs="Calibri"/>
        </w:rPr>
      </w:pPr>
    </w:p>
    <w:p w14:paraId="1C3EAB9F"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Debe mostrar la siguiente información:</w:t>
      </w:r>
    </w:p>
    <w:p w14:paraId="2B4AA1D1"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Vida útil o porcentajes de depreciación, deterioro o amortización utilizados en los diferentes tipos de activos:</w:t>
      </w:r>
    </w:p>
    <w:p w14:paraId="692EAB76"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Con forme a los porcentajes publicados en la Ley del Impuesto Sobre la Renta.</w:t>
      </w:r>
    </w:p>
    <w:p w14:paraId="3E74B43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Cambios en el porcentaje de depreciación o valor residual de los activos:</w:t>
      </w:r>
    </w:p>
    <w:p w14:paraId="1E32A6D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 conformidad con la norma de CONAC y los alcances del SIHP, actualmente sólo pueden considerarse las 40 clases de activos vigentes.</w:t>
      </w:r>
    </w:p>
    <w:p w14:paraId="1836EEBB"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Importe de los gastos capitalizados en el ejercicio, tanto financieros como de investigación y desarrollo:</w:t>
      </w:r>
    </w:p>
    <w:p w14:paraId="0E713C00"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9178B1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Riesgos por tipo de cambio o tipo de interés de las inversiones financieras:</w:t>
      </w:r>
    </w:p>
    <w:p w14:paraId="073FC8F3" w14:textId="77777777" w:rsidR="00F30FC5" w:rsidRDefault="00F30FC5" w:rsidP="00F30FC5">
      <w:pPr>
        <w:tabs>
          <w:tab w:val="left" w:leader="underscore" w:pos="9639"/>
        </w:tabs>
        <w:jc w:val="both"/>
        <w:rPr>
          <w:rFonts w:ascii="Arial" w:hAnsi="Arial" w:cs="Arial"/>
          <w:sz w:val="20"/>
          <w:szCs w:val="20"/>
        </w:rPr>
      </w:pPr>
      <w:bookmarkStart w:id="37" w:name="_Hlk14085043"/>
      <w:r w:rsidRPr="00FB26C7">
        <w:rPr>
          <w:rFonts w:ascii="Arial" w:hAnsi="Arial" w:cs="Arial"/>
          <w:sz w:val="20"/>
          <w:szCs w:val="20"/>
        </w:rPr>
        <w:t xml:space="preserve">“Esta nota no le aplica al ente público” </w:t>
      </w:r>
    </w:p>
    <w:p w14:paraId="350CD2B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 xml:space="preserve">e) </w:t>
      </w:r>
      <w:r w:rsidRPr="00FA379D">
        <w:rPr>
          <w:rFonts w:ascii="Arial" w:hAnsi="Arial" w:cs="Arial"/>
          <w:sz w:val="20"/>
          <w:szCs w:val="20"/>
        </w:rPr>
        <w:t>Valor activado en el ejercicio de los bienes construidos por la entidad:</w:t>
      </w:r>
    </w:p>
    <w:p w14:paraId="47FC9869" w14:textId="77777777" w:rsidR="00F30FC5" w:rsidRDefault="00F30FC5" w:rsidP="00F30FC5">
      <w:pPr>
        <w:tabs>
          <w:tab w:val="left" w:leader="underscore" w:pos="9639"/>
        </w:tabs>
        <w:jc w:val="both"/>
        <w:rPr>
          <w:rFonts w:ascii="Arial" w:hAnsi="Arial" w:cs="Arial"/>
          <w:sz w:val="20"/>
          <w:szCs w:val="20"/>
        </w:rPr>
      </w:pPr>
      <w:bookmarkStart w:id="38" w:name="_Hlk85201943"/>
      <w:r w:rsidRPr="00FB26C7">
        <w:rPr>
          <w:rFonts w:ascii="Arial" w:hAnsi="Arial" w:cs="Arial"/>
          <w:sz w:val="20"/>
          <w:szCs w:val="20"/>
        </w:rPr>
        <w:t xml:space="preserve">“Esta nota no le aplica al ente público” </w:t>
      </w:r>
    </w:p>
    <w:p w14:paraId="406FDD7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lastRenderedPageBreak/>
        <w:t>f)</w:t>
      </w:r>
      <w:r w:rsidRPr="00FA379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E91137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2C8CE139" w14:textId="77777777" w:rsidR="00606C11" w:rsidRDefault="00606C11" w:rsidP="00F30FC5">
      <w:pPr>
        <w:tabs>
          <w:tab w:val="left" w:leader="underscore" w:pos="9639"/>
        </w:tabs>
        <w:jc w:val="both"/>
        <w:rPr>
          <w:rFonts w:ascii="Arial" w:hAnsi="Arial" w:cs="Arial"/>
          <w:sz w:val="20"/>
          <w:szCs w:val="20"/>
        </w:rPr>
      </w:pPr>
    </w:p>
    <w:p w14:paraId="7A08AE92" w14:textId="77777777" w:rsidR="00606C11" w:rsidRDefault="00606C11" w:rsidP="00F30FC5">
      <w:pPr>
        <w:tabs>
          <w:tab w:val="left" w:leader="underscore" w:pos="9639"/>
        </w:tabs>
        <w:jc w:val="both"/>
        <w:rPr>
          <w:rFonts w:ascii="Arial" w:hAnsi="Arial" w:cs="Arial"/>
          <w:sz w:val="20"/>
          <w:szCs w:val="20"/>
        </w:rPr>
      </w:pPr>
    </w:p>
    <w:p w14:paraId="3EA3F31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g)</w:t>
      </w:r>
      <w:r w:rsidRPr="00FA379D">
        <w:rPr>
          <w:rFonts w:ascii="Arial" w:hAnsi="Arial" w:cs="Arial"/>
          <w:sz w:val="20"/>
          <w:szCs w:val="20"/>
        </w:rPr>
        <w:t xml:space="preserve"> Desmantelamiento de Activos, procedimientos, implicaciones, efectos contables:</w:t>
      </w:r>
    </w:p>
    <w:p w14:paraId="32B1FB7F"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10A02D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h)</w:t>
      </w:r>
      <w:r w:rsidRPr="00FA379D">
        <w:rPr>
          <w:rFonts w:ascii="Arial" w:hAnsi="Arial" w:cs="Arial"/>
          <w:sz w:val="20"/>
          <w:szCs w:val="20"/>
        </w:rPr>
        <w:t xml:space="preserve"> Administración de activos; planeación con el objetivo de que el ente los utilice de manera más efectiva:</w:t>
      </w:r>
    </w:p>
    <w:p w14:paraId="281AD0F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lleva un control sobre los servicios y mantenimiento que requieran para que se prolongue la vida útil de los mismos, ya que este Instituto tiene activos con una antigüedad mayor a 10 años.</w:t>
      </w:r>
    </w:p>
    <w:p w14:paraId="27CE45E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Adicionalmente, se deben incluir las explicaciones de las principales variaciones en el activo, en cuadros comparativos como sigue:</w:t>
      </w:r>
    </w:p>
    <w:p w14:paraId="2F5C8A08"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Inversiones en valores:</w:t>
      </w:r>
    </w:p>
    <w:p w14:paraId="0C2829F4"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7BDE2F5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Patrimonio de Organismos descentralizados de Control Presupuestario Indirecto:</w:t>
      </w:r>
    </w:p>
    <w:p w14:paraId="15CACAD7"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1FD4506E"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c)</w:t>
      </w:r>
      <w:r w:rsidRPr="00FA379D">
        <w:rPr>
          <w:rFonts w:ascii="Arial" w:hAnsi="Arial" w:cs="Arial"/>
          <w:sz w:val="20"/>
          <w:szCs w:val="20"/>
        </w:rPr>
        <w:t xml:space="preserve"> Inversiones en empresas de participación mayoritaria:</w:t>
      </w:r>
    </w:p>
    <w:p w14:paraId="2F1E59E3"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“Esta nota no le aplica al ente público”</w:t>
      </w:r>
    </w:p>
    <w:p w14:paraId="3A6B2FB5" w14:textId="77777777" w:rsidR="00F30FC5" w:rsidRPr="00FA379D" w:rsidRDefault="00F30FC5" w:rsidP="00F30FC5">
      <w:pPr>
        <w:tabs>
          <w:tab w:val="left" w:leader="underscore" w:pos="9639"/>
        </w:tabs>
        <w:jc w:val="both"/>
        <w:rPr>
          <w:rFonts w:ascii="Arial" w:hAnsi="Arial" w:cs="Arial"/>
          <w:sz w:val="20"/>
          <w:szCs w:val="20"/>
        </w:rPr>
      </w:pPr>
    </w:p>
    <w:p w14:paraId="3D120F3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d)</w:t>
      </w:r>
      <w:r w:rsidRPr="00FA379D">
        <w:rPr>
          <w:rFonts w:ascii="Arial" w:hAnsi="Arial" w:cs="Arial"/>
          <w:sz w:val="20"/>
          <w:szCs w:val="20"/>
        </w:rPr>
        <w:t xml:space="preserve"> Inversiones en empresas de participación minoritaria:</w:t>
      </w:r>
    </w:p>
    <w:p w14:paraId="78DE905C" w14:textId="77777777" w:rsidR="00F30FC5" w:rsidRDefault="00F30FC5" w:rsidP="00F30FC5">
      <w:pPr>
        <w:tabs>
          <w:tab w:val="left" w:leader="underscore" w:pos="9639"/>
        </w:tabs>
        <w:jc w:val="both"/>
        <w:rPr>
          <w:rFonts w:ascii="Arial" w:hAnsi="Arial" w:cs="Arial"/>
          <w:sz w:val="20"/>
          <w:szCs w:val="20"/>
        </w:rPr>
      </w:pPr>
      <w:r w:rsidRPr="00FB26C7">
        <w:rPr>
          <w:rFonts w:ascii="Arial" w:hAnsi="Arial" w:cs="Arial"/>
          <w:sz w:val="20"/>
          <w:szCs w:val="20"/>
        </w:rPr>
        <w:t xml:space="preserve">“Esta nota no le aplica al ente público” </w:t>
      </w:r>
    </w:p>
    <w:p w14:paraId="0D552265"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e)</w:t>
      </w:r>
      <w:r w:rsidRPr="00FA379D">
        <w:rPr>
          <w:rFonts w:ascii="Arial" w:hAnsi="Arial" w:cs="Arial"/>
          <w:sz w:val="20"/>
          <w:szCs w:val="20"/>
        </w:rPr>
        <w:t xml:space="preserve"> Patrimonio de organismos descentralizados de control presupuestario directo, según corresponda:</w:t>
      </w:r>
    </w:p>
    <w:bookmarkEnd w:id="37"/>
    <w:bookmarkEnd w:id="38"/>
    <w:p w14:paraId="161531AB" w14:textId="77777777" w:rsidR="00F30FC5" w:rsidRDefault="00F30FC5" w:rsidP="00F30FC5">
      <w:pPr>
        <w:tabs>
          <w:tab w:val="left" w:leader="underscore" w:pos="9639"/>
        </w:tabs>
        <w:spacing w:after="0" w:line="240" w:lineRule="auto"/>
        <w:jc w:val="both"/>
        <w:rPr>
          <w:rFonts w:ascii="Arial" w:hAnsi="Arial" w:cs="Arial"/>
          <w:sz w:val="20"/>
          <w:szCs w:val="20"/>
        </w:rPr>
      </w:pPr>
      <w:r w:rsidRPr="00FB26C7">
        <w:rPr>
          <w:rFonts w:ascii="Arial" w:hAnsi="Arial" w:cs="Arial"/>
          <w:sz w:val="20"/>
          <w:szCs w:val="20"/>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39"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39"/>
    </w:p>
    <w:p w14:paraId="5B412C86" w14:textId="77777777" w:rsidR="007D1E76" w:rsidRPr="00E74967" w:rsidRDefault="007D1E76" w:rsidP="00CB41C4">
      <w:pPr>
        <w:tabs>
          <w:tab w:val="left" w:leader="underscore" w:pos="9639"/>
        </w:tabs>
        <w:spacing w:after="0" w:line="240" w:lineRule="auto"/>
        <w:jc w:val="both"/>
        <w:rPr>
          <w:rFonts w:cs="Calibri"/>
        </w:rPr>
      </w:pPr>
    </w:p>
    <w:p w14:paraId="636D4FA9" w14:textId="77777777" w:rsidR="00F30FC5" w:rsidRPr="00E74967" w:rsidRDefault="00F30FC5" w:rsidP="00F30FC5">
      <w:pPr>
        <w:tabs>
          <w:tab w:val="left" w:leader="underscore" w:pos="9639"/>
        </w:tabs>
        <w:spacing w:after="0" w:line="240" w:lineRule="auto"/>
        <w:jc w:val="both"/>
        <w:rPr>
          <w:rFonts w:cs="Calibri"/>
        </w:rPr>
      </w:pPr>
      <w:bookmarkStart w:id="40" w:name="_Toc161472874"/>
      <w:r w:rsidRPr="00E74967">
        <w:rPr>
          <w:rFonts w:cs="Calibri"/>
        </w:rPr>
        <w:t>Se deberá informar:</w:t>
      </w:r>
    </w:p>
    <w:p w14:paraId="7395F104" w14:textId="77777777" w:rsidR="00F30FC5" w:rsidRPr="00E74967" w:rsidRDefault="00F30FC5" w:rsidP="00F30FC5">
      <w:pPr>
        <w:tabs>
          <w:tab w:val="left" w:leader="underscore" w:pos="9639"/>
        </w:tabs>
        <w:spacing w:after="0" w:line="240" w:lineRule="auto"/>
        <w:jc w:val="both"/>
        <w:rPr>
          <w:rFonts w:cs="Calibri"/>
        </w:rPr>
      </w:pPr>
    </w:p>
    <w:p w14:paraId="5A4C1280" w14:textId="77777777" w:rsidR="00F30FC5"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36E8FA5" w14:textId="77777777" w:rsidR="00F30FC5" w:rsidRDefault="00F30FC5" w:rsidP="00F30FC5">
      <w:pPr>
        <w:tabs>
          <w:tab w:val="left" w:leader="underscore" w:pos="9639"/>
        </w:tabs>
        <w:spacing w:after="0" w:line="240" w:lineRule="auto"/>
        <w:jc w:val="both"/>
        <w:rPr>
          <w:rFonts w:cs="Calibri"/>
        </w:rPr>
      </w:pPr>
    </w:p>
    <w:p w14:paraId="338969EF" w14:textId="77777777" w:rsidR="00F30FC5" w:rsidRDefault="00F30FC5" w:rsidP="00F30FC5">
      <w:pPr>
        <w:tabs>
          <w:tab w:val="left" w:leader="underscore" w:pos="9639"/>
        </w:tabs>
        <w:spacing w:after="0" w:line="240" w:lineRule="auto"/>
        <w:jc w:val="both"/>
        <w:rPr>
          <w:rFonts w:cs="Calibri"/>
        </w:rPr>
      </w:pPr>
      <w:r w:rsidRPr="00FB26C7">
        <w:rPr>
          <w:rFonts w:cs="Calibri"/>
        </w:rPr>
        <w:t xml:space="preserve">“Esta nota no le aplica al ente público” </w:t>
      </w:r>
    </w:p>
    <w:p w14:paraId="39B1CA1F" w14:textId="77777777" w:rsidR="00F30FC5" w:rsidRPr="00E74967" w:rsidRDefault="00F30FC5" w:rsidP="00F30FC5">
      <w:pPr>
        <w:tabs>
          <w:tab w:val="left" w:leader="underscore" w:pos="9639"/>
        </w:tabs>
        <w:spacing w:after="0" w:line="240" w:lineRule="auto"/>
        <w:jc w:val="both"/>
        <w:rPr>
          <w:rFonts w:cs="Calibri"/>
        </w:rPr>
      </w:pPr>
      <w:r>
        <w:rPr>
          <w:rFonts w:cs="Calibri"/>
        </w:rPr>
        <w:t xml:space="preserve"> </w:t>
      </w:r>
    </w:p>
    <w:p w14:paraId="74A3C7FF" w14:textId="77777777" w:rsidR="00F30FC5" w:rsidRDefault="00F30FC5" w:rsidP="00F30FC5">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4A3C7F71" w14:textId="77777777" w:rsidR="00F30FC5" w:rsidRDefault="00F30FC5" w:rsidP="00F30FC5">
      <w:pPr>
        <w:tabs>
          <w:tab w:val="left" w:leader="underscore" w:pos="9639"/>
        </w:tabs>
        <w:spacing w:after="0" w:line="240" w:lineRule="auto"/>
        <w:jc w:val="both"/>
        <w:rPr>
          <w:rFonts w:cs="Calibri"/>
        </w:rPr>
      </w:pPr>
    </w:p>
    <w:p w14:paraId="5A01C304" w14:textId="77777777" w:rsidR="00606C11" w:rsidRDefault="00606C11" w:rsidP="00F30FC5">
      <w:pPr>
        <w:tabs>
          <w:tab w:val="left" w:leader="underscore" w:pos="9639"/>
        </w:tabs>
        <w:spacing w:after="0" w:line="240" w:lineRule="auto"/>
        <w:jc w:val="both"/>
        <w:rPr>
          <w:rFonts w:cs="Calibri"/>
        </w:rPr>
      </w:pPr>
    </w:p>
    <w:p w14:paraId="68091B81" w14:textId="77777777" w:rsidR="00606C11" w:rsidRDefault="00606C11" w:rsidP="00F30FC5">
      <w:pPr>
        <w:tabs>
          <w:tab w:val="left" w:leader="underscore" w:pos="9639"/>
        </w:tabs>
        <w:spacing w:after="0" w:line="240" w:lineRule="auto"/>
        <w:jc w:val="both"/>
        <w:rPr>
          <w:rFonts w:cs="Calibri"/>
        </w:rPr>
      </w:pPr>
    </w:p>
    <w:p w14:paraId="4D56AACF" w14:textId="77777777" w:rsidR="00606C11" w:rsidRDefault="00606C11" w:rsidP="00F30FC5">
      <w:pPr>
        <w:tabs>
          <w:tab w:val="left" w:leader="underscore" w:pos="9639"/>
        </w:tabs>
        <w:spacing w:after="0" w:line="240" w:lineRule="auto"/>
        <w:jc w:val="both"/>
        <w:rPr>
          <w:rFonts w:cs="Calibri"/>
        </w:rPr>
      </w:pPr>
    </w:p>
    <w:p w14:paraId="060AC0CD" w14:textId="77777777" w:rsidR="00606C11" w:rsidRDefault="00606C11" w:rsidP="00F30FC5">
      <w:pPr>
        <w:tabs>
          <w:tab w:val="left" w:leader="underscore" w:pos="9639"/>
        </w:tabs>
        <w:spacing w:after="0" w:line="240" w:lineRule="auto"/>
        <w:jc w:val="both"/>
        <w:rPr>
          <w:rFonts w:cs="Calibri"/>
        </w:rPr>
      </w:pPr>
    </w:p>
    <w:p w14:paraId="5C0C63CC" w14:textId="77777777" w:rsidR="00606C11" w:rsidRDefault="00606C11" w:rsidP="00F30FC5">
      <w:pPr>
        <w:tabs>
          <w:tab w:val="left" w:leader="underscore" w:pos="9639"/>
        </w:tabs>
        <w:spacing w:after="0" w:line="240" w:lineRule="auto"/>
        <w:jc w:val="both"/>
        <w:rPr>
          <w:rFonts w:cs="Calibri"/>
        </w:rPr>
      </w:pPr>
    </w:p>
    <w:p w14:paraId="380803A4" w14:textId="77777777" w:rsidR="00606C11" w:rsidRDefault="00606C11" w:rsidP="00F30FC5">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40"/>
    </w:p>
    <w:p w14:paraId="2B90D2EC" w14:textId="77777777" w:rsidR="007D1E76" w:rsidRPr="00E74967" w:rsidRDefault="007D1E76" w:rsidP="00CB41C4">
      <w:pPr>
        <w:tabs>
          <w:tab w:val="left" w:leader="underscore" w:pos="9639"/>
        </w:tabs>
        <w:spacing w:after="0" w:line="240" w:lineRule="auto"/>
        <w:jc w:val="both"/>
        <w:rPr>
          <w:rFonts w:cs="Calibri"/>
        </w:rPr>
      </w:pPr>
    </w:p>
    <w:p w14:paraId="44A431C5" w14:textId="77777777" w:rsidR="00F30FC5"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6A163C3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 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210E8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Proyección de la recaudación e ingresos en el mediano plazo:</w:t>
      </w:r>
    </w:p>
    <w:p w14:paraId="0DA77977" w14:textId="77777777" w:rsidR="00F30FC5" w:rsidRPr="00FA379D" w:rsidRDefault="00F30FC5" w:rsidP="00F30FC5">
      <w:pPr>
        <w:tabs>
          <w:tab w:val="left" w:leader="underscore" w:pos="9639"/>
        </w:tabs>
        <w:jc w:val="both"/>
        <w:rPr>
          <w:rFonts w:ascii="Arial" w:hAnsi="Arial" w:cs="Arial"/>
          <w:sz w:val="20"/>
          <w:szCs w:val="20"/>
        </w:rPr>
      </w:pPr>
      <w:r>
        <w:rPr>
          <w:rFonts w:ascii="Arial" w:hAnsi="Arial" w:cs="Arial"/>
          <w:sz w:val="20"/>
          <w:szCs w:val="20"/>
        </w:rPr>
        <w:t xml:space="preserve">El Instituto De Infraestructura Física Educativa de Guanajuato no cuenta con proyectos de recaudación en el ejercicio 2024, en virtud del comienzo del proceso de extinción del ente, en referencia al decreto numero 6 publicado en el periódico oficial del gobierno del estado de Guanajuato numero 233 segunda parte de fecha 23 de </w:t>
      </w:r>
      <w:proofErr w:type="gramStart"/>
      <w:r>
        <w:rPr>
          <w:rFonts w:ascii="Arial" w:hAnsi="Arial" w:cs="Arial"/>
          <w:sz w:val="20"/>
          <w:szCs w:val="20"/>
        </w:rPr>
        <w:t>Noviembre</w:t>
      </w:r>
      <w:proofErr w:type="gramEnd"/>
      <w:r>
        <w:rPr>
          <w:rFonts w:ascii="Arial" w:hAnsi="Arial" w:cs="Arial"/>
          <w:sz w:val="20"/>
          <w:szCs w:val="20"/>
        </w:rPr>
        <w:t xml:space="preserve"> de 2021.</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41"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41"/>
    </w:p>
    <w:p w14:paraId="27337031" w14:textId="77777777" w:rsidR="007D1E76" w:rsidRPr="00E74967" w:rsidRDefault="007D1E76" w:rsidP="00CB41C4">
      <w:pPr>
        <w:tabs>
          <w:tab w:val="left" w:leader="underscore" w:pos="9639"/>
        </w:tabs>
        <w:spacing w:after="0" w:line="240" w:lineRule="auto"/>
        <w:jc w:val="both"/>
        <w:rPr>
          <w:rFonts w:cs="Calibri"/>
        </w:rPr>
      </w:pPr>
    </w:p>
    <w:p w14:paraId="23F44BCD"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E0CBF54" w14:textId="77777777" w:rsidR="00F30FC5" w:rsidRDefault="00F30FC5" w:rsidP="00F30FC5">
      <w:pPr>
        <w:tabs>
          <w:tab w:val="left" w:leader="underscore" w:pos="9639"/>
        </w:tabs>
        <w:spacing w:after="0" w:line="240" w:lineRule="auto"/>
        <w:jc w:val="both"/>
        <w:rPr>
          <w:rFonts w:cs="Calibri"/>
        </w:rPr>
      </w:pPr>
    </w:p>
    <w:p w14:paraId="7A14DAC5"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0D19AF15" w14:textId="77777777" w:rsidR="00F30FC5" w:rsidRPr="00E74967" w:rsidRDefault="00F30FC5" w:rsidP="00F30FC5">
      <w:pPr>
        <w:tabs>
          <w:tab w:val="left" w:leader="underscore" w:pos="9639"/>
        </w:tabs>
        <w:spacing w:after="0" w:line="240" w:lineRule="auto"/>
        <w:jc w:val="both"/>
        <w:rPr>
          <w:rFonts w:cs="Calibri"/>
        </w:rPr>
      </w:pPr>
    </w:p>
    <w:p w14:paraId="2D5E6151" w14:textId="77777777" w:rsidR="00F30FC5" w:rsidRPr="00E74967" w:rsidRDefault="00F30FC5" w:rsidP="00F30FC5">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8C82C1B" w14:textId="77777777" w:rsidR="00F30FC5" w:rsidRPr="00E74967" w:rsidRDefault="00F30FC5" w:rsidP="00F30FC5">
      <w:pPr>
        <w:tabs>
          <w:tab w:val="left" w:leader="underscore" w:pos="9639"/>
        </w:tabs>
        <w:spacing w:after="0" w:line="240" w:lineRule="auto"/>
        <w:jc w:val="both"/>
        <w:rPr>
          <w:rFonts w:cs="Calibri"/>
        </w:rPr>
      </w:pPr>
      <w:r w:rsidRPr="00E74967">
        <w:rPr>
          <w:rFonts w:cs="Calibri"/>
        </w:rPr>
        <w:t>* Se anexará la información en las notas de desglose.</w:t>
      </w:r>
    </w:p>
    <w:p w14:paraId="5250CCD1" w14:textId="77777777" w:rsidR="00F30FC5" w:rsidRPr="00E74967" w:rsidRDefault="00F30FC5" w:rsidP="00F30FC5">
      <w:pPr>
        <w:tabs>
          <w:tab w:val="left" w:leader="underscore" w:pos="9639"/>
        </w:tabs>
        <w:spacing w:after="0" w:line="240" w:lineRule="auto"/>
        <w:jc w:val="both"/>
        <w:rPr>
          <w:rFonts w:cs="Calibri"/>
        </w:rPr>
      </w:pPr>
    </w:p>
    <w:p w14:paraId="00CE52EF" w14:textId="77777777" w:rsidR="00F30FC5"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42"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42"/>
    </w:p>
    <w:p w14:paraId="67197CE9" w14:textId="77777777" w:rsidR="007D1E76" w:rsidRPr="00E74967" w:rsidRDefault="007D1E76" w:rsidP="00CB41C4">
      <w:pPr>
        <w:tabs>
          <w:tab w:val="left" w:leader="underscore" w:pos="9639"/>
        </w:tabs>
        <w:spacing w:after="0" w:line="240" w:lineRule="auto"/>
        <w:jc w:val="both"/>
        <w:rPr>
          <w:rFonts w:cs="Calibri"/>
        </w:rPr>
      </w:pPr>
    </w:p>
    <w:p w14:paraId="456E4D60" w14:textId="77777777" w:rsidR="00F30FC5" w:rsidRDefault="00F30FC5" w:rsidP="00F30FC5">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339B33C4" w14:textId="77777777" w:rsidR="00F30FC5" w:rsidRPr="00E74967" w:rsidRDefault="00F30FC5" w:rsidP="00F30FC5">
      <w:pPr>
        <w:tabs>
          <w:tab w:val="left" w:leader="underscore" w:pos="9639"/>
        </w:tabs>
        <w:spacing w:after="0" w:line="240" w:lineRule="auto"/>
        <w:jc w:val="both"/>
        <w:rPr>
          <w:rFonts w:cs="Calibri"/>
        </w:rPr>
      </w:pPr>
    </w:p>
    <w:p w14:paraId="641DC283" w14:textId="77777777" w:rsidR="00F30FC5" w:rsidRPr="00E74967" w:rsidRDefault="00F30FC5" w:rsidP="00F30FC5">
      <w:pPr>
        <w:tabs>
          <w:tab w:val="left" w:leader="underscore" w:pos="9639"/>
        </w:tabs>
        <w:spacing w:after="0" w:line="240" w:lineRule="auto"/>
        <w:jc w:val="both"/>
        <w:rPr>
          <w:rFonts w:cs="Calibri"/>
        </w:rPr>
      </w:pPr>
      <w:r w:rsidRPr="00FB26C7">
        <w:rPr>
          <w:rFonts w:cs="Calibri"/>
        </w:rPr>
        <w:t>“Esta nota no le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43"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43"/>
    </w:p>
    <w:p w14:paraId="0251CC47" w14:textId="77777777" w:rsidR="007D1E76" w:rsidRPr="00E74967" w:rsidRDefault="007D1E76" w:rsidP="00CB41C4">
      <w:pPr>
        <w:tabs>
          <w:tab w:val="left" w:leader="underscore" w:pos="9639"/>
        </w:tabs>
        <w:spacing w:after="0" w:line="240" w:lineRule="auto"/>
        <w:jc w:val="both"/>
        <w:rPr>
          <w:rFonts w:cs="Calibri"/>
        </w:rPr>
      </w:pPr>
    </w:p>
    <w:p w14:paraId="613B2F2A"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Se informará de:</w:t>
      </w:r>
    </w:p>
    <w:p w14:paraId="368D36E6"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a)</w:t>
      </w:r>
      <w:r w:rsidRPr="00FA379D">
        <w:rPr>
          <w:rFonts w:ascii="Arial" w:hAnsi="Arial" w:cs="Arial"/>
          <w:sz w:val="20"/>
          <w:szCs w:val="20"/>
        </w:rPr>
        <w:t xml:space="preserve"> Principales Políticas de control interno:</w:t>
      </w:r>
    </w:p>
    <w:p w14:paraId="627FEAD2"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Disposiciones administrativas emitidas por la Secretaría de Finanzas y Administración para el año vigente, así como la normativa aplicable en materia del ingreso y gasto.</w:t>
      </w:r>
    </w:p>
    <w:p w14:paraId="60606F40"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b/>
          <w:sz w:val="20"/>
          <w:szCs w:val="20"/>
        </w:rPr>
        <w:t>b)</w:t>
      </w:r>
      <w:r w:rsidRPr="00FA379D">
        <w:rPr>
          <w:rFonts w:ascii="Arial" w:hAnsi="Arial" w:cs="Arial"/>
          <w:sz w:val="20"/>
          <w:szCs w:val="20"/>
        </w:rPr>
        <w:t xml:space="preserve"> Medidas de desempeño financiero, metas y alcance:</w:t>
      </w:r>
    </w:p>
    <w:p w14:paraId="6E98D8D7" w14:textId="77777777" w:rsidR="00F30FC5" w:rsidRPr="00FA379D"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Derivado de la Actividad del Instituto que es la construcción-rehabilitación de espacios educativos se requiere de un monitoreo constante tanto de los recursos asignados en la Ley de ingresos como de los convenios efectuados con las diferentes entidades educativas, por lo que mensualmente se realizan conciliaciones de avances físico-financieros de las obras para comparar el avance real con el programado al inicio de año y en base a los resultados obtenidos hasta ese momento se toman decisiones con respecto a los programas de ejecución de la obra.</w:t>
      </w:r>
    </w:p>
    <w:p w14:paraId="78C3B433" w14:textId="77777777" w:rsidR="00F30FC5" w:rsidRPr="004E151F" w:rsidRDefault="00F30FC5" w:rsidP="00F30FC5">
      <w:pPr>
        <w:tabs>
          <w:tab w:val="left" w:leader="underscore" w:pos="9639"/>
        </w:tabs>
        <w:jc w:val="both"/>
        <w:rPr>
          <w:rFonts w:ascii="Arial" w:hAnsi="Arial" w:cs="Arial"/>
          <w:sz w:val="20"/>
          <w:szCs w:val="20"/>
        </w:rPr>
      </w:pPr>
      <w:r w:rsidRPr="00FA379D">
        <w:rPr>
          <w:rFonts w:ascii="Arial" w:hAnsi="Arial" w:cs="Arial"/>
          <w:sz w:val="20"/>
          <w:szCs w:val="20"/>
        </w:rPr>
        <w:t>Aunado a lo anterior se trabaja mediante el sistema de evaluación al desempeño, donde se monitorea por parte de la Secretaría de Finanzas Inversión y Administración el avance de las metas.</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44"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4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bookmarkStart w:id="45" w:name="_Hlk172110533"/>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bookmarkEnd w:id="45"/>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46"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46"/>
    </w:p>
    <w:p w14:paraId="3D96A9B1" w14:textId="77777777" w:rsidR="00D2649E" w:rsidRDefault="00D2649E" w:rsidP="00D2649E">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7B8DA052" w14:textId="77777777" w:rsidR="00D2649E" w:rsidRDefault="00D2649E" w:rsidP="00D2649E">
      <w:pPr>
        <w:tabs>
          <w:tab w:val="left" w:leader="underscore" w:pos="9639"/>
        </w:tabs>
        <w:spacing w:after="0" w:line="240" w:lineRule="auto"/>
        <w:jc w:val="both"/>
        <w:rPr>
          <w:rFonts w:cs="Calibri"/>
        </w:rPr>
      </w:pPr>
    </w:p>
    <w:p w14:paraId="034C52EB" w14:textId="77C6718E" w:rsidR="00D2649E" w:rsidRDefault="00D2649E" w:rsidP="00D2649E">
      <w:pPr>
        <w:tabs>
          <w:tab w:val="left" w:leader="underscore" w:pos="9639"/>
        </w:tabs>
        <w:jc w:val="both"/>
        <w:rPr>
          <w:rFonts w:ascii="Arial" w:hAnsi="Arial" w:cs="Arial"/>
          <w:sz w:val="20"/>
          <w:szCs w:val="20"/>
        </w:rPr>
      </w:pPr>
      <w:r>
        <w:rPr>
          <w:rFonts w:ascii="Arial" w:hAnsi="Arial" w:cs="Arial"/>
          <w:sz w:val="20"/>
          <w:szCs w:val="20"/>
        </w:rPr>
        <w:t>No existen eventos posteriores al cierre al 3</w:t>
      </w:r>
      <w:r w:rsidR="009A1AA8">
        <w:rPr>
          <w:rFonts w:ascii="Arial" w:hAnsi="Arial" w:cs="Arial"/>
          <w:sz w:val="20"/>
          <w:szCs w:val="20"/>
        </w:rPr>
        <w:t>1</w:t>
      </w:r>
      <w:r>
        <w:rPr>
          <w:rFonts w:ascii="Arial" w:hAnsi="Arial" w:cs="Arial"/>
          <w:sz w:val="20"/>
          <w:szCs w:val="20"/>
        </w:rPr>
        <w:t xml:space="preserve"> de</w:t>
      </w:r>
      <w:r w:rsidR="00817048">
        <w:rPr>
          <w:rFonts w:ascii="Arial" w:hAnsi="Arial" w:cs="Arial"/>
          <w:sz w:val="20"/>
          <w:szCs w:val="20"/>
        </w:rPr>
        <w:t xml:space="preserve"> </w:t>
      </w:r>
      <w:proofErr w:type="gramStart"/>
      <w:r w:rsidR="009A1AA8">
        <w:rPr>
          <w:rFonts w:ascii="Arial" w:hAnsi="Arial" w:cs="Arial"/>
          <w:sz w:val="20"/>
          <w:szCs w:val="20"/>
        </w:rPr>
        <w:t>Dic</w:t>
      </w:r>
      <w:r w:rsidR="009C41C6">
        <w:rPr>
          <w:rFonts w:ascii="Arial" w:hAnsi="Arial" w:cs="Arial"/>
          <w:sz w:val="20"/>
          <w:szCs w:val="20"/>
        </w:rPr>
        <w:t>iembre</w:t>
      </w:r>
      <w:proofErr w:type="gramEnd"/>
      <w:r>
        <w:rPr>
          <w:rFonts w:ascii="Arial" w:hAnsi="Arial" w:cs="Arial"/>
          <w:sz w:val="20"/>
          <w:szCs w:val="20"/>
        </w:rPr>
        <w:t xml:space="preserve"> de 2024.</w:t>
      </w:r>
    </w:p>
    <w:p w14:paraId="55D08D4D" w14:textId="77777777" w:rsidR="007D1E76" w:rsidRDefault="007D1E76" w:rsidP="00CB41C4">
      <w:pPr>
        <w:tabs>
          <w:tab w:val="left" w:leader="underscore" w:pos="9639"/>
        </w:tabs>
        <w:spacing w:after="0" w:line="240" w:lineRule="auto"/>
        <w:jc w:val="both"/>
        <w:rPr>
          <w:rFonts w:cs="Calibri"/>
        </w:rPr>
      </w:pPr>
    </w:p>
    <w:p w14:paraId="5E3F93AA" w14:textId="77777777" w:rsidR="00D41325" w:rsidRDefault="00D41325" w:rsidP="00CB41C4">
      <w:pPr>
        <w:tabs>
          <w:tab w:val="left" w:leader="underscore" w:pos="9639"/>
        </w:tabs>
        <w:spacing w:after="0" w:line="240" w:lineRule="auto"/>
        <w:jc w:val="both"/>
        <w:rPr>
          <w:rFonts w:cs="Calibri"/>
        </w:rPr>
      </w:pPr>
    </w:p>
    <w:p w14:paraId="44D910FF" w14:textId="77777777" w:rsidR="00D41325" w:rsidRPr="00E74967" w:rsidRDefault="00D41325"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47"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47"/>
    </w:p>
    <w:p w14:paraId="20438A33" w14:textId="77777777" w:rsidR="007D1E76" w:rsidRPr="00E74967" w:rsidRDefault="007D1E76" w:rsidP="00CB41C4">
      <w:pPr>
        <w:tabs>
          <w:tab w:val="left" w:leader="underscore" w:pos="9639"/>
        </w:tabs>
        <w:spacing w:after="0" w:line="240" w:lineRule="auto"/>
        <w:jc w:val="both"/>
        <w:rPr>
          <w:rFonts w:cs="Calibri"/>
        </w:rPr>
      </w:pPr>
    </w:p>
    <w:p w14:paraId="55A9059C" w14:textId="77777777" w:rsidR="00D2649E" w:rsidRPr="00E74967" w:rsidRDefault="00D2649E" w:rsidP="00D2649E">
      <w:pPr>
        <w:tabs>
          <w:tab w:val="left" w:leader="underscore" w:pos="9639"/>
        </w:tabs>
        <w:spacing w:after="0" w:line="240" w:lineRule="auto"/>
        <w:jc w:val="both"/>
        <w:rPr>
          <w:rFonts w:cs="Calibri"/>
        </w:rPr>
      </w:pPr>
      <w:bookmarkStart w:id="48" w:name="_Toc161472881"/>
      <w:r w:rsidRPr="00E74967">
        <w:rPr>
          <w:rFonts w:cs="Calibri"/>
        </w:rPr>
        <w:t>Se debe establecer por escrito que no existen partes relacionadas que pudieran ejercer influencia significativa sobre la toma de decisiones financieras y operativas:</w:t>
      </w:r>
    </w:p>
    <w:p w14:paraId="50491A6C" w14:textId="77777777" w:rsidR="00D2649E" w:rsidRDefault="00D2649E" w:rsidP="00D2649E">
      <w:pPr>
        <w:tabs>
          <w:tab w:val="left" w:leader="underscore" w:pos="9639"/>
        </w:tabs>
        <w:spacing w:after="0" w:line="240" w:lineRule="auto"/>
        <w:jc w:val="both"/>
        <w:rPr>
          <w:rFonts w:cs="Calibri"/>
        </w:rPr>
      </w:pPr>
      <w:r>
        <w:rPr>
          <w:rFonts w:cs="Calibri"/>
        </w:rPr>
        <w:t xml:space="preserve">  </w:t>
      </w:r>
    </w:p>
    <w:p w14:paraId="1F877887" w14:textId="77777777" w:rsidR="00D2649E" w:rsidRDefault="00D2649E" w:rsidP="00D2649E">
      <w:pPr>
        <w:tabs>
          <w:tab w:val="left" w:leader="underscore" w:pos="9639"/>
        </w:tabs>
        <w:spacing w:after="0" w:line="240" w:lineRule="auto"/>
        <w:jc w:val="both"/>
        <w:rPr>
          <w:rFonts w:cs="Calibri"/>
        </w:rPr>
      </w:pPr>
      <w:r w:rsidRPr="00FB26C7">
        <w:rPr>
          <w:rFonts w:cs="Calibri"/>
        </w:rPr>
        <w:t>“Esta nota no le aplica al ente público”</w:t>
      </w:r>
    </w:p>
    <w:p w14:paraId="7449894F" w14:textId="77777777" w:rsidR="00D2649E" w:rsidRDefault="00D2649E" w:rsidP="00D2649E">
      <w:pPr>
        <w:tabs>
          <w:tab w:val="left" w:leader="underscore" w:pos="9639"/>
        </w:tabs>
        <w:spacing w:after="0" w:line="240" w:lineRule="auto"/>
        <w:jc w:val="both"/>
        <w:rPr>
          <w:rFonts w:cs="Calibri"/>
        </w:rPr>
      </w:pPr>
    </w:p>
    <w:p w14:paraId="6DA7AF08" w14:textId="77777777" w:rsidR="00D2649E" w:rsidRDefault="00D2649E" w:rsidP="00D2649E">
      <w:pPr>
        <w:tabs>
          <w:tab w:val="left" w:leader="underscore" w:pos="9639"/>
        </w:tabs>
        <w:spacing w:after="0" w:line="240" w:lineRule="auto"/>
        <w:jc w:val="both"/>
        <w:rPr>
          <w:rFonts w:cs="Calibri"/>
        </w:rPr>
      </w:pPr>
    </w:p>
    <w:p w14:paraId="2B279DF9" w14:textId="77777777" w:rsidR="00D2649E" w:rsidRDefault="00D2649E" w:rsidP="00D2649E">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48"/>
    </w:p>
    <w:p w14:paraId="24905817" w14:textId="77777777" w:rsidR="007D1E76" w:rsidRPr="00E74967" w:rsidRDefault="007D1E76" w:rsidP="00CB41C4">
      <w:pPr>
        <w:tabs>
          <w:tab w:val="left" w:leader="underscore" w:pos="9639"/>
        </w:tabs>
        <w:spacing w:after="0" w:line="240" w:lineRule="auto"/>
        <w:jc w:val="both"/>
        <w:rPr>
          <w:rFonts w:cs="Calibri"/>
        </w:rPr>
      </w:pPr>
    </w:p>
    <w:p w14:paraId="3C9A5C27" w14:textId="77777777" w:rsidR="00D2649E" w:rsidRPr="00E74967" w:rsidRDefault="00D2649E" w:rsidP="00D2649E">
      <w:pPr>
        <w:tabs>
          <w:tab w:val="left" w:leader="underscore" w:pos="9639"/>
        </w:tabs>
        <w:spacing w:after="0" w:line="240" w:lineRule="auto"/>
        <w:jc w:val="both"/>
        <w:rPr>
          <w:rFonts w:cs="Calibri"/>
        </w:rPr>
      </w:pPr>
    </w:p>
    <w:p w14:paraId="08CE11F2" w14:textId="77777777" w:rsidR="00D2649E" w:rsidRDefault="00D2649E" w:rsidP="00D2649E">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Pr="001973A2">
        <w:rPr>
          <w:rFonts w:cs="Calibri"/>
        </w:rPr>
        <w:t>.</w:t>
      </w:r>
    </w:p>
    <w:p w14:paraId="64933938"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7F06FE0B" w14:textId="77777777" w:rsidR="00D2649E" w:rsidRDefault="00D2649E" w:rsidP="00D2649E">
      <w:pPr>
        <w:pBdr>
          <w:bottom w:val="single" w:sz="12" w:space="1" w:color="auto"/>
        </w:pBdr>
        <w:tabs>
          <w:tab w:val="left" w:leader="underscore" w:pos="9639"/>
        </w:tabs>
        <w:spacing w:after="0" w:line="240" w:lineRule="auto"/>
        <w:jc w:val="both"/>
        <w:rPr>
          <w:rFonts w:cs="Calibri"/>
        </w:rPr>
      </w:pPr>
    </w:p>
    <w:p w14:paraId="4A4CF0FE" w14:textId="77777777" w:rsidR="00D2649E" w:rsidRDefault="00D2649E" w:rsidP="00D2649E">
      <w:pPr>
        <w:tabs>
          <w:tab w:val="left" w:leader="underscore" w:pos="9639"/>
        </w:tabs>
        <w:spacing w:after="0" w:line="240" w:lineRule="auto"/>
        <w:jc w:val="both"/>
        <w:rPr>
          <w:rFonts w:asciiTheme="minorHAnsi" w:hAnsiTheme="minorHAnsi" w:cstheme="minorHAnsi"/>
          <w:b/>
          <w:sz w:val="24"/>
          <w:szCs w:val="24"/>
        </w:rPr>
      </w:pPr>
    </w:p>
    <w:p w14:paraId="04C62A00" w14:textId="77777777" w:rsidR="00D2649E" w:rsidRPr="0012405A" w:rsidRDefault="00D2649E" w:rsidP="00D2649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bookmarkStart w:id="49" w:name="_Hlk164765966"/>
      <w:r w:rsidRPr="0012405A">
        <w:rPr>
          <w:rFonts w:asciiTheme="minorHAnsi" w:hAnsiTheme="minorHAnsi" w:cstheme="minorHAnsi"/>
          <w:sz w:val="24"/>
          <w:szCs w:val="24"/>
        </w:rPr>
        <w:t>“</w:t>
      </w:r>
      <w:r w:rsidRPr="00C54C12">
        <w:rPr>
          <w:rFonts w:asciiTheme="minorHAnsi" w:hAnsiTheme="minorHAnsi" w:cstheme="minorHAnsi"/>
          <w:b/>
          <w:bCs/>
          <w:sz w:val="24"/>
          <w:szCs w:val="24"/>
        </w:rPr>
        <w:t xml:space="preserve">Esta nota no le aplica al ente público” </w:t>
      </w:r>
      <w:bookmarkEnd w:id="49"/>
      <w:r w:rsidRPr="00C54C12">
        <w:rPr>
          <w:rFonts w:asciiTheme="minorHAnsi" w:hAnsiTheme="minorHAnsi" w:cstheme="minorHAnsi"/>
          <w:b/>
          <w:bCs/>
          <w:sz w:val="24"/>
          <w:szCs w:val="24"/>
        </w:rPr>
        <w:t>y una breve explicación del motivo por el cual no le es aplicable</w:t>
      </w:r>
      <w:r w:rsidRPr="0012405A">
        <w:rPr>
          <w:rFonts w:asciiTheme="minorHAnsi" w:hAnsiTheme="minorHAnsi" w:cstheme="minorHAnsi"/>
          <w:sz w:val="24"/>
          <w:szCs w:val="24"/>
        </w:rPr>
        <w:t>.</w:t>
      </w:r>
      <w:r>
        <w:rPr>
          <w:rFonts w:asciiTheme="minorHAnsi" w:hAnsiTheme="minorHAnsi" w:cstheme="minorHAnsi"/>
          <w:sz w:val="24"/>
          <w:szCs w:val="24"/>
        </w:rPr>
        <w:t xml:space="preserve"> 06-12-2022</w:t>
      </w:r>
    </w:p>
    <w:p w14:paraId="414600CA" w14:textId="77777777" w:rsidR="00D2649E" w:rsidRPr="0012405A" w:rsidRDefault="00D2649E" w:rsidP="00D2649E">
      <w:pPr>
        <w:pBdr>
          <w:bottom w:val="single" w:sz="12" w:space="1" w:color="auto"/>
        </w:pBdr>
        <w:tabs>
          <w:tab w:val="left" w:leader="underscore" w:pos="9639"/>
        </w:tabs>
        <w:spacing w:after="0" w:line="240" w:lineRule="auto"/>
        <w:jc w:val="both"/>
        <w:rPr>
          <w:rFonts w:cs="Calibri"/>
        </w:rPr>
      </w:pPr>
    </w:p>
    <w:p w14:paraId="35992777" w14:textId="77777777" w:rsidR="00D2649E" w:rsidRDefault="00D2649E" w:rsidP="00D2649E">
      <w:pPr>
        <w:tabs>
          <w:tab w:val="left" w:leader="underscore" w:pos="9639"/>
        </w:tabs>
        <w:spacing w:after="0" w:line="240" w:lineRule="auto"/>
        <w:jc w:val="both"/>
        <w:rPr>
          <w:rFonts w:cs="Calibri"/>
        </w:rPr>
      </w:pPr>
    </w:p>
    <w:p w14:paraId="4F8BD127" w14:textId="77777777" w:rsidR="00D2649E" w:rsidRPr="00FA379D" w:rsidRDefault="00D2649E" w:rsidP="00D2649E">
      <w:pPr>
        <w:jc w:val="both"/>
        <w:rPr>
          <w:rFonts w:ascii="Arial" w:hAnsi="Arial" w:cs="Arial"/>
          <w:sz w:val="20"/>
          <w:szCs w:val="20"/>
        </w:rPr>
      </w:pPr>
      <w:r w:rsidRPr="00FA379D">
        <w:rPr>
          <w:rFonts w:ascii="Arial" w:hAnsi="Arial" w:cs="Arial"/>
          <w:sz w:val="20"/>
          <w:szCs w:val="20"/>
        </w:rPr>
        <w:t>Bajo protesta de decir verdad declaramos que los Estados Financieros y sus Notas son razonablemente correctos y responsabilidad del emisor.</w:t>
      </w:r>
    </w:p>
    <w:p w14:paraId="74D16815" w14:textId="77777777" w:rsidR="00D5018E" w:rsidRDefault="00D5018E" w:rsidP="00D2649E">
      <w:pPr>
        <w:tabs>
          <w:tab w:val="left" w:leader="underscore" w:pos="9639"/>
        </w:tabs>
        <w:spacing w:after="0" w:line="240" w:lineRule="auto"/>
        <w:jc w:val="both"/>
        <w:rPr>
          <w:rFonts w:cs="Calibri"/>
        </w:rPr>
      </w:pPr>
    </w:p>
    <w:p w14:paraId="7F77F7B2" w14:textId="77777777" w:rsidR="00D2649E" w:rsidRDefault="00D2649E" w:rsidP="00D2649E">
      <w:pPr>
        <w:tabs>
          <w:tab w:val="left" w:leader="underscore" w:pos="9639"/>
        </w:tabs>
        <w:spacing w:after="0" w:line="240" w:lineRule="auto"/>
        <w:jc w:val="both"/>
        <w:rPr>
          <w:rFonts w:cs="Calibri"/>
        </w:rPr>
      </w:pPr>
    </w:p>
    <w:p w14:paraId="4980BA6E" w14:textId="77777777" w:rsidR="00D2649E" w:rsidRDefault="00D2649E" w:rsidP="00D2649E">
      <w:pPr>
        <w:tabs>
          <w:tab w:val="left" w:leader="underscore" w:pos="9639"/>
        </w:tabs>
        <w:spacing w:after="0" w:line="240" w:lineRule="auto"/>
        <w:jc w:val="both"/>
        <w:rPr>
          <w:rFonts w:cs="Calibri"/>
        </w:rPr>
      </w:pPr>
    </w:p>
    <w:p w14:paraId="55510F95" w14:textId="77777777" w:rsidR="00D2649E" w:rsidRDefault="00D2649E" w:rsidP="00D2649E">
      <w:pPr>
        <w:tabs>
          <w:tab w:val="left" w:leader="underscore" w:pos="9639"/>
        </w:tabs>
        <w:spacing w:after="0" w:line="240" w:lineRule="auto"/>
        <w:jc w:val="both"/>
        <w:rPr>
          <w:rFonts w:cs="Calibri"/>
        </w:rPr>
      </w:pPr>
    </w:p>
    <w:p w14:paraId="377E6353" w14:textId="77777777" w:rsidR="00D2649E" w:rsidRDefault="00D2649E" w:rsidP="00D2649E">
      <w:pPr>
        <w:tabs>
          <w:tab w:val="left" w:leader="underscore" w:pos="9639"/>
        </w:tabs>
        <w:spacing w:after="0" w:line="240" w:lineRule="auto"/>
        <w:jc w:val="both"/>
        <w:rPr>
          <w:rFonts w:cs="Calibri"/>
        </w:rPr>
      </w:pPr>
    </w:p>
    <w:p w14:paraId="70BC56C4" w14:textId="77777777" w:rsidR="00D2649E" w:rsidRDefault="00D2649E" w:rsidP="00D2649E">
      <w:pPr>
        <w:tabs>
          <w:tab w:val="left" w:leader="underscore" w:pos="9639"/>
        </w:tabs>
        <w:spacing w:after="0" w:line="240" w:lineRule="auto"/>
        <w:jc w:val="both"/>
        <w:rPr>
          <w:rFonts w:cs="Calibri"/>
        </w:rPr>
      </w:pPr>
    </w:p>
    <w:p w14:paraId="78D97FEA" w14:textId="77777777" w:rsidR="00D2649E" w:rsidRDefault="00D2649E" w:rsidP="00D2649E">
      <w:pPr>
        <w:tabs>
          <w:tab w:val="left" w:leader="underscore" w:pos="9639"/>
        </w:tabs>
        <w:spacing w:after="0" w:line="240" w:lineRule="auto"/>
        <w:jc w:val="both"/>
        <w:rPr>
          <w:rFonts w:cs="Calibri"/>
        </w:rPr>
      </w:pPr>
    </w:p>
    <w:p w14:paraId="5137945E" w14:textId="25D01D2A" w:rsidR="00D2649E" w:rsidRDefault="00D41325"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59264" behindDoc="0" locked="0" layoutInCell="1" allowOverlap="1" wp14:anchorId="207FB967" wp14:editId="00654296">
                <wp:simplePos x="0" y="0"/>
                <wp:positionH relativeFrom="column">
                  <wp:posOffset>-549910</wp:posOffset>
                </wp:positionH>
                <wp:positionV relativeFrom="paragraph">
                  <wp:posOffset>220345</wp:posOffset>
                </wp:positionV>
                <wp:extent cx="1943100" cy="952500"/>
                <wp:effectExtent l="0" t="0" r="0" b="0"/>
                <wp:wrapNone/>
                <wp:docPr id="3" name="Cuadro de texto 9">
                  <a:extLst xmlns:a="http://schemas.openxmlformats.org/drawingml/2006/main">
                    <a:ext uri="{FF2B5EF4-FFF2-40B4-BE49-F238E27FC236}">
                      <a16:creationId xmlns:a16="http://schemas.microsoft.com/office/drawing/2014/main" id="{46D8B2B8-6225-4A35-B74D-2AAF8FF96AF7}"/>
                    </a:ext>
                  </a:extLst>
                </wp:docPr>
                <wp:cNvGraphicFramePr/>
                <a:graphic xmlns:a="http://schemas.openxmlformats.org/drawingml/2006/main">
                  <a:graphicData uri="http://schemas.microsoft.com/office/word/2010/wordprocessingShape">
                    <wps:wsp>
                      <wps:cNvSpPr txBox="1"/>
                      <wps:spPr>
                        <a:xfrm>
                          <a:off x="0" y="0"/>
                          <a:ext cx="1943100" cy="9525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Director General de 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 xml:space="preserve">n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wps:txbx>
                      <wps:bodyPr wrap="square" rtlCol="0" anchor="ctr">
                        <a:noAutofit/>
                      </wps:bodyPr>
                    </wps:wsp>
                  </a:graphicData>
                </a:graphic>
                <wp14:sizeRelH relativeFrom="margin">
                  <wp14:pctWidth>0</wp14:pctWidth>
                </wp14:sizeRelH>
              </wp:anchor>
            </w:drawing>
          </mc:Choice>
          <mc:Fallback>
            <w:pict>
              <v:shapetype w14:anchorId="207FB967" id="_x0000_t202" coordsize="21600,21600" o:spt="202" path="m,l,21600r21600,l21600,xe">
                <v:stroke joinstyle="miter"/>
                <v:path gradientshapeok="t" o:connecttype="rect"/>
              </v:shapetype>
              <v:shape id="Cuadro de texto 9" o:spid="_x0000_s1026" type="#_x0000_t202" style="position:absolute;left:0;text-align:left;margin-left:-43.3pt;margin-top:17.35pt;width:153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" filled="f" stroked="f">
                <v:textbox>
                  <w:txbxContent>
                    <w:p w14:paraId="2AA5F6E6" w14:textId="584C84FF"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___</w:t>
                      </w:r>
                      <w:r w:rsidR="00D2649E">
                        <w:rPr>
                          <w:rFonts w:eastAsia="Times New Roman" w:hAnsi="Aptos"/>
                          <w:color w:val="000000"/>
                          <w:sz w:val="20"/>
                          <w:szCs w:val="20"/>
                          <w:lang w:val="en-US"/>
                        </w:rPr>
                        <w:t>________________________</w:t>
                      </w:r>
                    </w:p>
                    <w:p w14:paraId="3BFD98D7"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AUTORIZ</w:t>
                      </w:r>
                      <w:r>
                        <w:rPr>
                          <w:rFonts w:eastAsia="Times New Roman" w:hAnsi="Aptos"/>
                          <w:color w:val="000000"/>
                          <w:sz w:val="14"/>
                          <w:szCs w:val="14"/>
                          <w:lang w:val="en-US"/>
                        </w:rPr>
                        <w:t>Ó</w:t>
                      </w:r>
                    </w:p>
                    <w:p w14:paraId="0ADD4E4B"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C.P. Luis Enrique Ramos P</w:t>
                      </w:r>
                      <w:r w:rsidRPr="00DB3F4E">
                        <w:rPr>
                          <w:rFonts w:eastAsia="Times New Roman" w:hAnsi="Aptos"/>
                          <w:color w:val="000000"/>
                          <w:sz w:val="16"/>
                          <w:szCs w:val="16"/>
                          <w:lang w:val="en-US"/>
                        </w:rPr>
                        <w:t>é</w:t>
                      </w:r>
                      <w:r w:rsidRPr="00DB3F4E">
                        <w:rPr>
                          <w:rFonts w:eastAsia="Times New Roman" w:hAnsi="Aptos"/>
                          <w:color w:val="000000"/>
                          <w:sz w:val="16"/>
                          <w:szCs w:val="16"/>
                          <w:lang w:val="en-US"/>
                        </w:rPr>
                        <w:t>rez</w:t>
                      </w:r>
                    </w:p>
                    <w:p w14:paraId="67115315" w14:textId="4BF245DA"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 xml:space="preserve">Director General de </w:t>
                      </w:r>
                      <w:proofErr w:type="spellStart"/>
                      <w:r w:rsidRPr="00DB3F4E">
                        <w:rPr>
                          <w:rFonts w:eastAsia="Times New Roman" w:hAnsi="Aptos"/>
                          <w:color w:val="000000"/>
                          <w:sz w:val="16"/>
                          <w:szCs w:val="16"/>
                          <w:lang w:val="en-US"/>
                        </w:rPr>
                        <w:t>Administraci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e </w:t>
                      </w:r>
                      <w:proofErr w:type="spellStart"/>
                      <w:proofErr w:type="gramStart"/>
                      <w:r w:rsidRPr="00DB3F4E">
                        <w:rPr>
                          <w:rFonts w:eastAsia="Times New Roman" w:hAnsi="Aptos"/>
                          <w:color w:val="000000"/>
                          <w:sz w:val="16"/>
                          <w:szCs w:val="16"/>
                          <w:lang w:val="en-US"/>
                        </w:rPr>
                        <w:t>Inversi</w:t>
                      </w:r>
                      <w:r w:rsidRPr="00DB3F4E">
                        <w:rPr>
                          <w:rFonts w:eastAsia="Times New Roman" w:hAnsi="Aptos"/>
                          <w:color w:val="000000"/>
                          <w:sz w:val="16"/>
                          <w:szCs w:val="16"/>
                          <w:lang w:val="en-US"/>
                        </w:rPr>
                        <w:t>ó</w:t>
                      </w:r>
                      <w:r w:rsidRPr="00DB3F4E">
                        <w:rPr>
                          <w:rFonts w:eastAsia="Times New Roman" w:hAnsi="Aptos"/>
                          <w:color w:val="000000"/>
                          <w:sz w:val="16"/>
                          <w:szCs w:val="16"/>
                          <w:lang w:val="en-US"/>
                        </w:rPr>
                        <w:t>n</w:t>
                      </w:r>
                      <w:proofErr w:type="spellEnd"/>
                      <w:r w:rsidRPr="00DB3F4E">
                        <w:rPr>
                          <w:rFonts w:eastAsia="Times New Roman" w:hAnsi="Aptos"/>
                          <w:color w:val="000000"/>
                          <w:sz w:val="16"/>
                          <w:szCs w:val="16"/>
                          <w:lang w:val="en-US"/>
                        </w:rPr>
                        <w:t xml:space="preserve">  S</w:t>
                      </w:r>
                      <w:r w:rsidR="00E062CD">
                        <w:rPr>
                          <w:rFonts w:eastAsia="Times New Roman" w:hAnsi="Aptos"/>
                          <w:color w:val="000000"/>
                          <w:sz w:val="16"/>
                          <w:szCs w:val="16"/>
                          <w:lang w:val="en-US"/>
                        </w:rPr>
                        <w:t>OP</w:t>
                      </w:r>
                      <w:proofErr w:type="gramEnd"/>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0BCFE7" wp14:editId="5EFE1530">
                <wp:simplePos x="0" y="0"/>
                <wp:positionH relativeFrom="column">
                  <wp:posOffset>1219200</wp:posOffset>
                </wp:positionH>
                <wp:positionV relativeFrom="paragraph">
                  <wp:posOffset>177800</wp:posOffset>
                </wp:positionV>
                <wp:extent cx="1920240" cy="1059180"/>
                <wp:effectExtent l="0" t="0" r="0" b="0"/>
                <wp:wrapNone/>
                <wp:docPr id="5" name="Cuadro de texto 7">
                  <a:extLst xmlns:a="http://schemas.openxmlformats.org/drawingml/2006/main">
                    <a:ext uri="{FF2B5EF4-FFF2-40B4-BE49-F238E27FC236}">
                      <a16:creationId xmlns:a16="http://schemas.microsoft.com/office/drawing/2014/main" id="{FCCF3263-DC75-4364-B44C-BADA4F832311}"/>
                    </a:ext>
                  </a:extLst>
                </wp:docPr>
                <wp:cNvGraphicFramePr/>
                <a:graphic xmlns:a="http://schemas.openxmlformats.org/drawingml/2006/main">
                  <a:graphicData uri="http://schemas.microsoft.com/office/word/2010/wordprocessingShape">
                    <wps:wsp>
                      <wps:cNvSpPr txBox="1"/>
                      <wps:spPr>
                        <a:xfrm>
                          <a:off x="0" y="0"/>
                          <a:ext cx="1920240" cy="105918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wps:txbx>
                      <wps:bodyPr wrap="square" rtlCol="0" anchor="ctr">
                        <a:noAutofit/>
                      </wps:bodyPr>
                    </wps:wsp>
                  </a:graphicData>
                </a:graphic>
              </wp:anchor>
            </w:drawing>
          </mc:Choice>
          <mc:Fallback>
            <w:pict>
              <v:shape w14:anchorId="460BCFE7" id="Cuadro de texto 7" o:spid="_x0000_s1027" type="#_x0000_t202" style="position:absolute;left:0;text-align:left;margin-left:96pt;margin-top:14pt;width:151.2pt;height:8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" filled="f" stroked="f">
                <v:textbox>
                  <w:txbxContent>
                    <w:p w14:paraId="735B3FFC" w14:textId="77777777"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_______________________</w:t>
                      </w:r>
                    </w:p>
                    <w:p w14:paraId="0EB29AFD"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74F099DF"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Juan Antonio Ornelas Villa</w:t>
                      </w:r>
                    </w:p>
                    <w:p w14:paraId="4D4C0888" w14:textId="4CE56B16"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Director de Control Presupuestal y Contabilidad Gubernamental S</w:t>
                      </w:r>
                      <w:r w:rsidR="00E062CD">
                        <w:rPr>
                          <w:rFonts w:eastAsia="Times New Roman" w:hAnsi="Aptos"/>
                          <w:color w:val="000000"/>
                          <w:sz w:val="16"/>
                          <w:szCs w:val="16"/>
                          <w:lang w:val="es-ES"/>
                        </w:rPr>
                        <w:t>OP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0247CD" wp14:editId="3BFBAB66">
                <wp:simplePos x="0" y="0"/>
                <wp:positionH relativeFrom="column">
                  <wp:posOffset>3008630</wp:posOffset>
                </wp:positionH>
                <wp:positionV relativeFrom="paragraph">
                  <wp:posOffset>106045</wp:posOffset>
                </wp:positionV>
                <wp:extent cx="1760220" cy="1066800"/>
                <wp:effectExtent l="0" t="0" r="0" b="0"/>
                <wp:wrapNone/>
                <wp:docPr id="4" name="Cuadro de texto 8">
                  <a:extLst xmlns:a="http://schemas.openxmlformats.org/drawingml/2006/main">
                    <a:ext uri="{FF2B5EF4-FFF2-40B4-BE49-F238E27FC236}">
                      <a16:creationId xmlns:a16="http://schemas.microsoft.com/office/drawing/2014/main" id="{ED6A78E3-94B0-4D07-AC92-925220EF9A3A}"/>
                    </a:ext>
                  </a:extLst>
                </wp:docPr>
                <wp:cNvGraphicFramePr/>
                <a:graphic xmlns:a="http://schemas.openxmlformats.org/drawingml/2006/main">
                  <a:graphicData uri="http://schemas.microsoft.com/office/word/2010/wordprocessingShape">
                    <wps:wsp>
                      <wps:cNvSpPr txBox="1"/>
                      <wps:spPr>
                        <a:xfrm>
                          <a:off x="0" y="0"/>
                          <a:ext cx="1760220" cy="1066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wps:txbx>
                      <wps:bodyPr wrap="square" rtlCol="0" anchor="ctr">
                        <a:noAutofit/>
                      </wps:bodyPr>
                    </wps:wsp>
                  </a:graphicData>
                </a:graphic>
                <wp14:sizeRelH relativeFrom="margin">
                  <wp14:pctWidth>0</wp14:pctWidth>
                </wp14:sizeRelH>
              </wp:anchor>
            </w:drawing>
          </mc:Choice>
          <mc:Fallback>
            <w:pict>
              <v:shapetype w14:anchorId="7D0247CD" id="_x0000_t202" coordsize="21600,21600" o:spt="202" path="m,l,21600r21600,l21600,xe">
                <v:stroke joinstyle="miter"/>
                <v:path gradientshapeok="t" o:connecttype="rect"/>
              </v:shapetype>
              <v:shape id="Cuadro de texto 8" o:spid="_x0000_s1028" type="#_x0000_t202" style="position:absolute;left:0;text-align:left;margin-left:236.9pt;margin-top:8.35pt;width:138.6pt;height: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" filled="f" stroked="f">
                <v:textbox>
                  <w:txbxContent>
                    <w:p w14:paraId="7804E916" w14:textId="72ACBFEB" w:rsidR="00D2649E" w:rsidRDefault="00D2649E" w:rsidP="00D2649E">
                      <w:pPr>
                        <w:spacing w:after="0" w:line="256" w:lineRule="auto"/>
                        <w:jc w:val="center"/>
                        <w:rPr>
                          <w:rFonts w:eastAsia="Times New Roman" w:hAnsi="Aptos"/>
                          <w:color w:val="000000"/>
                          <w:lang w:val="en-US"/>
                        </w:rPr>
                      </w:pPr>
                      <w:r>
                        <w:rPr>
                          <w:rFonts w:eastAsia="Times New Roman" w:hAnsi="Aptos"/>
                          <w:color w:val="000000"/>
                          <w:lang w:val="en-US"/>
                        </w:rPr>
                        <w:t>_____________________</w:t>
                      </w:r>
                      <w:r w:rsidR="00DB3F4E">
                        <w:rPr>
                          <w:rFonts w:eastAsia="Times New Roman" w:hAnsi="Aptos"/>
                          <w:color w:val="000000"/>
                          <w:lang w:val="en-US"/>
                        </w:rPr>
                        <w:t>_</w:t>
                      </w:r>
                    </w:p>
                    <w:p w14:paraId="6F6ED6AB" w14:textId="77777777"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REVIS</w:t>
                      </w:r>
                      <w:r>
                        <w:rPr>
                          <w:rFonts w:eastAsia="Times New Roman" w:hAnsi="Aptos"/>
                          <w:color w:val="000000"/>
                          <w:sz w:val="16"/>
                          <w:szCs w:val="16"/>
                          <w:lang w:val="en-US"/>
                        </w:rPr>
                        <w:t>Ó</w:t>
                      </w:r>
                      <w:r>
                        <w:rPr>
                          <w:rFonts w:eastAsia="Times New Roman" w:hAnsi="Aptos"/>
                          <w:color w:val="000000"/>
                          <w:sz w:val="16"/>
                          <w:szCs w:val="16"/>
                          <w:lang w:val="en-US"/>
                        </w:rPr>
                        <w:t xml:space="preserve"> </w:t>
                      </w:r>
                    </w:p>
                    <w:p w14:paraId="0A2E4AB2" w14:textId="67EEC081" w:rsidR="00D2649E" w:rsidRDefault="00D2649E" w:rsidP="00D2649E">
                      <w:pPr>
                        <w:spacing w:after="0" w:line="256" w:lineRule="auto"/>
                        <w:jc w:val="center"/>
                        <w:rPr>
                          <w:rFonts w:eastAsia="Times New Roman" w:hAnsi="Aptos"/>
                          <w:color w:val="000000"/>
                          <w:sz w:val="16"/>
                          <w:szCs w:val="16"/>
                          <w:lang w:val="en-US"/>
                        </w:rPr>
                      </w:pPr>
                      <w:r>
                        <w:rPr>
                          <w:rFonts w:eastAsia="Times New Roman" w:hAnsi="Aptos"/>
                          <w:color w:val="000000"/>
                          <w:sz w:val="16"/>
                          <w:szCs w:val="16"/>
                          <w:lang w:val="en-US"/>
                        </w:rPr>
                        <w:t>C.P. Armando L</w:t>
                      </w:r>
                      <w:r w:rsidR="009A1AA8">
                        <w:rPr>
                          <w:rFonts w:eastAsia="Times New Roman" w:hAnsi="Aptos"/>
                          <w:color w:val="000000"/>
                          <w:sz w:val="16"/>
                          <w:szCs w:val="16"/>
                          <w:lang w:val="en-US"/>
                        </w:rPr>
                        <w:t>ó</w:t>
                      </w:r>
                      <w:r>
                        <w:rPr>
                          <w:rFonts w:eastAsia="Times New Roman" w:hAnsi="Aptos"/>
                          <w:color w:val="000000"/>
                          <w:sz w:val="16"/>
                          <w:szCs w:val="16"/>
                          <w:lang w:val="en-US"/>
                        </w:rPr>
                        <w:t>pez Bravo</w:t>
                      </w:r>
                    </w:p>
                    <w:p w14:paraId="2CF449C9" w14:textId="77777777" w:rsidR="00D2649E" w:rsidRDefault="00D2649E" w:rsidP="00D2649E">
                      <w:pPr>
                        <w:spacing w:after="0" w:line="256" w:lineRule="auto"/>
                        <w:jc w:val="center"/>
                        <w:rPr>
                          <w:rFonts w:eastAsia="Times New Roman" w:hAnsi="Aptos"/>
                          <w:color w:val="000000"/>
                          <w:sz w:val="16"/>
                          <w:szCs w:val="16"/>
                          <w:lang w:val="es-ES"/>
                        </w:rPr>
                      </w:pPr>
                      <w:r>
                        <w:rPr>
                          <w:rFonts w:eastAsia="Times New Roman" w:hAnsi="Aptos"/>
                          <w:color w:val="000000"/>
                          <w:sz w:val="16"/>
                          <w:szCs w:val="16"/>
                          <w:lang w:val="es-ES"/>
                        </w:rPr>
                        <w:t>Coordinador de Recursos Financieros</w:t>
                      </w:r>
                    </w:p>
                  </w:txbxContent>
                </v:textbox>
              </v:shape>
            </w:pict>
          </mc:Fallback>
        </mc:AlternateContent>
      </w:r>
    </w:p>
    <w:p w14:paraId="2A8DF768" w14:textId="58C8C3CB" w:rsidR="00D2649E" w:rsidRPr="00E74967" w:rsidRDefault="00D2649E" w:rsidP="00D2649E">
      <w:pPr>
        <w:tabs>
          <w:tab w:val="left" w:leader="underscore" w:pos="9639"/>
        </w:tabs>
        <w:spacing w:after="0" w:line="240" w:lineRule="auto"/>
        <w:jc w:val="both"/>
        <w:rPr>
          <w:rFonts w:cs="Calibri"/>
        </w:rPr>
      </w:pPr>
      <w:r>
        <w:rPr>
          <w:noProof/>
        </w:rPr>
        <mc:AlternateContent>
          <mc:Choice Requires="wps">
            <w:drawing>
              <wp:anchor distT="0" distB="0" distL="114300" distR="114300" simplePos="0" relativeHeight="251662336" behindDoc="0" locked="0" layoutInCell="1" allowOverlap="1" wp14:anchorId="31B728CB" wp14:editId="2004E89B">
                <wp:simplePos x="0" y="0"/>
                <wp:positionH relativeFrom="column">
                  <wp:posOffset>4639310</wp:posOffset>
                </wp:positionH>
                <wp:positionV relativeFrom="paragraph">
                  <wp:posOffset>57150</wp:posOffset>
                </wp:positionV>
                <wp:extent cx="1783080" cy="800100"/>
                <wp:effectExtent l="0" t="0" r="0" b="0"/>
                <wp:wrapNone/>
                <wp:docPr id="6" name="Cuadro de texto 1">
                  <a:extLst xmlns:a="http://schemas.openxmlformats.org/drawingml/2006/main">
                    <a:ext uri="{FF2B5EF4-FFF2-40B4-BE49-F238E27FC236}">
                      <a16:creationId xmlns:a16="http://schemas.microsoft.com/office/drawing/2014/main" id="{7657904F-3665-4204-953C-4186512AF827}"/>
                    </a:ext>
                  </a:extLst>
                </wp:docPr>
                <wp:cNvGraphicFramePr/>
                <a:graphic xmlns:a="http://schemas.openxmlformats.org/drawingml/2006/main">
                  <a:graphicData uri="http://schemas.microsoft.com/office/word/2010/wordprocessingShape">
                    <wps:wsp>
                      <wps:cNvSpPr txBox="1"/>
                      <wps:spPr>
                        <a:xfrm>
                          <a:off x="0" y="0"/>
                          <a:ext cx="1783080" cy="800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wps:txbx>
                      <wps:bodyPr wrap="square" rtlCol="0" anchor="ctr">
                        <a:noAutofit/>
                      </wps:bodyPr>
                    </wps:wsp>
                  </a:graphicData>
                </a:graphic>
                <wp14:sizeRelH relativeFrom="margin">
                  <wp14:pctWidth>0</wp14:pctWidth>
                </wp14:sizeRelH>
              </wp:anchor>
            </w:drawing>
          </mc:Choice>
          <mc:Fallback>
            <w:pict>
              <v:shape w14:anchorId="31B728CB" id="Cuadro de texto 1" o:spid="_x0000_s1029" type="#_x0000_t202" style="position:absolute;left:0;text-align:left;margin-left:365.3pt;margin-top:4.5pt;width:140.4pt;height: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" filled="f" stroked="f">
                <v:textbox>
                  <w:txbxContent>
                    <w:p w14:paraId="2F3FFCAA" w14:textId="47C09A3A" w:rsidR="00D2649E" w:rsidRDefault="00DB3F4E" w:rsidP="00D2649E">
                      <w:pPr>
                        <w:spacing w:after="0" w:line="256" w:lineRule="auto"/>
                        <w:jc w:val="center"/>
                        <w:rPr>
                          <w:rFonts w:eastAsia="Times New Roman" w:hAnsi="Aptos"/>
                          <w:color w:val="000000"/>
                          <w:sz w:val="20"/>
                          <w:szCs w:val="20"/>
                          <w:lang w:val="en-US"/>
                        </w:rPr>
                      </w:pPr>
                      <w:r>
                        <w:rPr>
                          <w:rFonts w:eastAsia="Times New Roman" w:hAnsi="Aptos"/>
                          <w:color w:val="000000"/>
                          <w:sz w:val="20"/>
                          <w:szCs w:val="20"/>
                          <w:lang w:val="en-US"/>
                        </w:rPr>
                        <w:t>__</w:t>
                      </w:r>
                      <w:r w:rsidR="00D2649E">
                        <w:rPr>
                          <w:rFonts w:eastAsia="Times New Roman" w:hAnsi="Aptos"/>
                          <w:color w:val="000000"/>
                          <w:sz w:val="20"/>
                          <w:szCs w:val="20"/>
                          <w:lang w:val="en-US"/>
                        </w:rPr>
                        <w:t>______________________</w:t>
                      </w:r>
                    </w:p>
                    <w:p w14:paraId="44CCCF1D" w14:textId="77777777" w:rsidR="00D2649E" w:rsidRDefault="00D2649E" w:rsidP="00D2649E">
                      <w:pPr>
                        <w:spacing w:after="0" w:line="256" w:lineRule="auto"/>
                        <w:jc w:val="center"/>
                        <w:rPr>
                          <w:rFonts w:eastAsia="Times New Roman" w:hAnsi="Aptos"/>
                          <w:color w:val="000000"/>
                          <w:sz w:val="14"/>
                          <w:szCs w:val="14"/>
                          <w:lang w:val="en-US"/>
                        </w:rPr>
                      </w:pPr>
                      <w:r>
                        <w:rPr>
                          <w:rFonts w:eastAsia="Times New Roman" w:hAnsi="Aptos"/>
                          <w:color w:val="000000"/>
                          <w:sz w:val="14"/>
                          <w:szCs w:val="14"/>
                          <w:lang w:val="en-US"/>
                        </w:rPr>
                        <w:t>ELABOR</w:t>
                      </w:r>
                      <w:r>
                        <w:rPr>
                          <w:rFonts w:eastAsia="Times New Roman" w:hAnsi="Aptos"/>
                          <w:color w:val="000000"/>
                          <w:sz w:val="14"/>
                          <w:szCs w:val="14"/>
                          <w:lang w:val="en-US"/>
                        </w:rPr>
                        <w:t>Ó</w:t>
                      </w:r>
                    </w:p>
                    <w:p w14:paraId="00325EB6" w14:textId="77777777" w:rsidR="00D2649E" w:rsidRPr="00DB3F4E" w:rsidRDefault="00D2649E" w:rsidP="00D2649E">
                      <w:pPr>
                        <w:spacing w:after="0" w:line="256" w:lineRule="auto"/>
                        <w:jc w:val="center"/>
                        <w:rPr>
                          <w:rFonts w:eastAsia="Times New Roman" w:hAnsi="Aptos"/>
                          <w:color w:val="000000"/>
                          <w:sz w:val="16"/>
                          <w:szCs w:val="16"/>
                          <w:lang w:val="en-US"/>
                        </w:rPr>
                      </w:pPr>
                      <w:r w:rsidRPr="00DB3F4E">
                        <w:rPr>
                          <w:rFonts w:eastAsia="Times New Roman" w:hAnsi="Aptos"/>
                          <w:color w:val="000000"/>
                          <w:sz w:val="16"/>
                          <w:szCs w:val="16"/>
                          <w:lang w:val="en-US"/>
                        </w:rPr>
                        <w:t>I.G.E. Edilberto 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 xml:space="preserve">ndez </w:t>
                      </w:r>
                      <w:proofErr w:type="spellStart"/>
                      <w:r w:rsidRPr="00DB3F4E">
                        <w:rPr>
                          <w:rFonts w:eastAsia="Times New Roman" w:hAnsi="Aptos"/>
                          <w:color w:val="000000"/>
                          <w:sz w:val="16"/>
                          <w:szCs w:val="16"/>
                          <w:lang w:val="en-US"/>
                        </w:rPr>
                        <w:t>Hern</w:t>
                      </w:r>
                      <w:r w:rsidRPr="00DB3F4E">
                        <w:rPr>
                          <w:rFonts w:eastAsia="Times New Roman" w:hAnsi="Aptos"/>
                          <w:color w:val="000000"/>
                          <w:sz w:val="16"/>
                          <w:szCs w:val="16"/>
                          <w:lang w:val="en-US"/>
                        </w:rPr>
                        <w:t>á</w:t>
                      </w:r>
                      <w:r w:rsidRPr="00DB3F4E">
                        <w:rPr>
                          <w:rFonts w:eastAsia="Times New Roman" w:hAnsi="Aptos"/>
                          <w:color w:val="000000"/>
                          <w:sz w:val="16"/>
                          <w:szCs w:val="16"/>
                          <w:lang w:val="en-US"/>
                        </w:rPr>
                        <w:t>ndez</w:t>
                      </w:r>
                      <w:proofErr w:type="spellEnd"/>
                      <w:r w:rsidRPr="00DB3F4E">
                        <w:rPr>
                          <w:rFonts w:eastAsia="Times New Roman" w:hAnsi="Aptos"/>
                          <w:color w:val="000000"/>
                          <w:sz w:val="16"/>
                          <w:szCs w:val="16"/>
                          <w:lang w:val="en-US"/>
                        </w:rPr>
                        <w:t xml:space="preserve"> </w:t>
                      </w:r>
                    </w:p>
                    <w:p w14:paraId="2768110F" w14:textId="6987D3D0" w:rsidR="00D2649E" w:rsidRPr="00DB3F4E" w:rsidRDefault="00D41325" w:rsidP="00D2649E">
                      <w:pPr>
                        <w:spacing w:after="0" w:line="256" w:lineRule="auto"/>
                        <w:jc w:val="center"/>
                        <w:rPr>
                          <w:rFonts w:eastAsia="Times New Roman" w:hAnsi="Aptos"/>
                          <w:color w:val="000000"/>
                          <w:sz w:val="16"/>
                          <w:szCs w:val="16"/>
                        </w:rPr>
                      </w:pPr>
                      <w:r>
                        <w:rPr>
                          <w:rFonts w:eastAsia="Times New Roman" w:hAnsi="Aptos"/>
                          <w:color w:val="000000"/>
                          <w:sz w:val="16"/>
                          <w:szCs w:val="16"/>
                        </w:rPr>
                        <w:t>Analista</w:t>
                      </w:r>
                      <w:r w:rsidR="00D2649E" w:rsidRPr="00DB3F4E">
                        <w:rPr>
                          <w:rFonts w:eastAsia="Times New Roman" w:hAnsi="Aptos"/>
                          <w:color w:val="000000"/>
                          <w:sz w:val="16"/>
                          <w:szCs w:val="16"/>
                        </w:rPr>
                        <w:t xml:space="preserve"> de Recursos Financieros</w:t>
                      </w:r>
                    </w:p>
                  </w:txbxContent>
                </v:textbox>
              </v:shape>
            </w:pict>
          </mc:Fallback>
        </mc:AlternateContent>
      </w:r>
    </w:p>
    <w:sectPr w:rsidR="00D2649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F322" w14:textId="77777777" w:rsidR="00A137D6" w:rsidRDefault="00A137D6" w:rsidP="00E00323">
      <w:pPr>
        <w:spacing w:after="0" w:line="240" w:lineRule="auto"/>
      </w:pPr>
      <w:r>
        <w:separator/>
      </w:r>
    </w:p>
  </w:endnote>
  <w:endnote w:type="continuationSeparator" w:id="0">
    <w:p w14:paraId="5ACD9F31" w14:textId="77777777" w:rsidR="00A137D6" w:rsidRDefault="00A137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72776" w14:textId="77777777" w:rsidR="00A137D6" w:rsidRDefault="00A137D6" w:rsidP="00E00323">
      <w:pPr>
        <w:spacing w:after="0" w:line="240" w:lineRule="auto"/>
      </w:pPr>
      <w:r>
        <w:separator/>
      </w:r>
    </w:p>
  </w:footnote>
  <w:footnote w:type="continuationSeparator" w:id="0">
    <w:p w14:paraId="72B305EE" w14:textId="77777777" w:rsidR="00A137D6" w:rsidRDefault="00A137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AE52" w14:textId="77777777" w:rsidR="00B57AF7" w:rsidRDefault="00B57AF7" w:rsidP="00B57AF7">
    <w:pPr>
      <w:pStyle w:val="Encabezado"/>
      <w:spacing w:after="0" w:line="240" w:lineRule="auto"/>
      <w:jc w:val="center"/>
    </w:pPr>
    <w:r>
      <w:t>INSTITUTO DE INFRAESTRUCTURA FISICA EDUCATIVA DE GUANAJUATO</w:t>
    </w:r>
  </w:p>
  <w:p w14:paraId="651A4C4F" w14:textId="52349550" w:rsidR="00A4610E" w:rsidRPr="00B57AF7" w:rsidRDefault="00B57AF7" w:rsidP="00B57AF7">
    <w:pPr>
      <w:pStyle w:val="Encabezado"/>
      <w:spacing w:after="0" w:line="240" w:lineRule="auto"/>
      <w:jc w:val="center"/>
    </w:pPr>
    <w:r w:rsidRPr="00A4610E">
      <w:t>CORRESPONDI</w:t>
    </w:r>
    <w:r>
      <w:t>E</w:t>
    </w:r>
    <w:r w:rsidRPr="00A4610E">
      <w:t xml:space="preserve">NTES AL </w:t>
    </w:r>
    <w:r>
      <w:t>3</w:t>
    </w:r>
    <w:r w:rsidR="009A1AA8">
      <w:t>1</w:t>
    </w:r>
    <w:r>
      <w:t xml:space="preserve"> DE </w:t>
    </w:r>
    <w:r w:rsidR="009A1AA8">
      <w:t>DIC</w:t>
    </w:r>
    <w:r w:rsidR="00643374">
      <w: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41C6E"/>
    <w:rsid w:val="0007688D"/>
    <w:rsid w:val="00084EAE"/>
    <w:rsid w:val="00091CE6"/>
    <w:rsid w:val="000B3B39"/>
    <w:rsid w:val="000B7810"/>
    <w:rsid w:val="000C3365"/>
    <w:rsid w:val="00106EE9"/>
    <w:rsid w:val="0012405A"/>
    <w:rsid w:val="0012493A"/>
    <w:rsid w:val="00154BA3"/>
    <w:rsid w:val="001973A2"/>
    <w:rsid w:val="001C34BC"/>
    <w:rsid w:val="001C710C"/>
    <w:rsid w:val="001C75F2"/>
    <w:rsid w:val="001C76BC"/>
    <w:rsid w:val="001D2063"/>
    <w:rsid w:val="001D43E9"/>
    <w:rsid w:val="00231FBE"/>
    <w:rsid w:val="00232175"/>
    <w:rsid w:val="0024740E"/>
    <w:rsid w:val="002722DD"/>
    <w:rsid w:val="00295B72"/>
    <w:rsid w:val="003405DF"/>
    <w:rsid w:val="003453CA"/>
    <w:rsid w:val="00396D53"/>
    <w:rsid w:val="003E6C64"/>
    <w:rsid w:val="0043078C"/>
    <w:rsid w:val="00435A87"/>
    <w:rsid w:val="0044679A"/>
    <w:rsid w:val="004A1077"/>
    <w:rsid w:val="004A58C8"/>
    <w:rsid w:val="004F234D"/>
    <w:rsid w:val="004F6FAC"/>
    <w:rsid w:val="005053EE"/>
    <w:rsid w:val="00516100"/>
    <w:rsid w:val="00516A8F"/>
    <w:rsid w:val="00522F00"/>
    <w:rsid w:val="00533228"/>
    <w:rsid w:val="00540261"/>
    <w:rsid w:val="0054701E"/>
    <w:rsid w:val="00552EA5"/>
    <w:rsid w:val="005B5531"/>
    <w:rsid w:val="005D3E43"/>
    <w:rsid w:val="005E231E"/>
    <w:rsid w:val="005F2900"/>
    <w:rsid w:val="005F51CC"/>
    <w:rsid w:val="00606C11"/>
    <w:rsid w:val="0064059E"/>
    <w:rsid w:val="00643374"/>
    <w:rsid w:val="00657009"/>
    <w:rsid w:val="00681C79"/>
    <w:rsid w:val="006B1ADF"/>
    <w:rsid w:val="006F0687"/>
    <w:rsid w:val="006F77A8"/>
    <w:rsid w:val="007610BC"/>
    <w:rsid w:val="007714AB"/>
    <w:rsid w:val="007D1E76"/>
    <w:rsid w:val="007D4484"/>
    <w:rsid w:val="007E38A2"/>
    <w:rsid w:val="007F699D"/>
    <w:rsid w:val="00806269"/>
    <w:rsid w:val="00817048"/>
    <w:rsid w:val="00820B0A"/>
    <w:rsid w:val="00841FAD"/>
    <w:rsid w:val="0086420E"/>
    <w:rsid w:val="0086459F"/>
    <w:rsid w:val="0086689C"/>
    <w:rsid w:val="008C3BB8"/>
    <w:rsid w:val="008D3F43"/>
    <w:rsid w:val="008E076C"/>
    <w:rsid w:val="009157C3"/>
    <w:rsid w:val="0092765C"/>
    <w:rsid w:val="00967DDA"/>
    <w:rsid w:val="009736CB"/>
    <w:rsid w:val="009A1AA8"/>
    <w:rsid w:val="009C41C6"/>
    <w:rsid w:val="00A137D6"/>
    <w:rsid w:val="00A4610E"/>
    <w:rsid w:val="00A6346D"/>
    <w:rsid w:val="00A730E0"/>
    <w:rsid w:val="00AA2768"/>
    <w:rsid w:val="00AA41E5"/>
    <w:rsid w:val="00AB722B"/>
    <w:rsid w:val="00AE1F6A"/>
    <w:rsid w:val="00AF4375"/>
    <w:rsid w:val="00B073DE"/>
    <w:rsid w:val="00B30469"/>
    <w:rsid w:val="00B57AF7"/>
    <w:rsid w:val="00B6368B"/>
    <w:rsid w:val="00BA53FE"/>
    <w:rsid w:val="00BE02EB"/>
    <w:rsid w:val="00C4250B"/>
    <w:rsid w:val="00C4625D"/>
    <w:rsid w:val="00C54C12"/>
    <w:rsid w:val="00C93C67"/>
    <w:rsid w:val="00C97E1E"/>
    <w:rsid w:val="00CB41C4"/>
    <w:rsid w:val="00CF1316"/>
    <w:rsid w:val="00D13C44"/>
    <w:rsid w:val="00D2649E"/>
    <w:rsid w:val="00D32331"/>
    <w:rsid w:val="00D40FC2"/>
    <w:rsid w:val="00D41325"/>
    <w:rsid w:val="00D5018E"/>
    <w:rsid w:val="00D546B2"/>
    <w:rsid w:val="00D54D71"/>
    <w:rsid w:val="00D975B1"/>
    <w:rsid w:val="00DB3F4E"/>
    <w:rsid w:val="00DD018C"/>
    <w:rsid w:val="00DE7BE6"/>
    <w:rsid w:val="00E00323"/>
    <w:rsid w:val="00E062CD"/>
    <w:rsid w:val="00E11758"/>
    <w:rsid w:val="00E74967"/>
    <w:rsid w:val="00E7559F"/>
    <w:rsid w:val="00E85520"/>
    <w:rsid w:val="00E9132F"/>
    <w:rsid w:val="00EA37F5"/>
    <w:rsid w:val="00EA7915"/>
    <w:rsid w:val="00ED7AA0"/>
    <w:rsid w:val="00F067C8"/>
    <w:rsid w:val="00F14F8B"/>
    <w:rsid w:val="00F30FC5"/>
    <w:rsid w:val="00F43AC5"/>
    <w:rsid w:val="00F46719"/>
    <w:rsid w:val="00F54F6F"/>
    <w:rsid w:val="00F6102D"/>
    <w:rsid w:val="00F65A92"/>
    <w:rsid w:val="00F6759B"/>
    <w:rsid w:val="00F8129A"/>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28486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Edilberto Hernandez Hernandez</cp:lastModifiedBy>
  <cp:revision>2</cp:revision>
  <cp:lastPrinted>2024-10-24T20:09:00Z</cp:lastPrinted>
  <dcterms:created xsi:type="dcterms:W3CDTF">2025-01-27T21:58:00Z</dcterms:created>
  <dcterms:modified xsi:type="dcterms:W3CDTF">2025-01-27T21:58:00Z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