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4EF1526"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BB415A">
              <w:rPr>
                <w:noProof/>
                <w:webHidden/>
              </w:rPr>
              <w:t>2</w:t>
            </w:r>
            <w:r w:rsidR="005F51CC">
              <w:rPr>
                <w:noProof/>
                <w:webHidden/>
              </w:rPr>
              <w:fldChar w:fldCharType="end"/>
            </w:r>
          </w:hyperlink>
        </w:p>
        <w:p w14:paraId="6A6756CA" w14:textId="5455DB8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sidR="00606C11">
              <w:rPr>
                <w:noProof/>
                <w:webHidden/>
              </w:rPr>
              <w:t>5</w:t>
            </w:r>
          </w:hyperlink>
        </w:p>
        <w:p w14:paraId="19796F35" w14:textId="6BD06AA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sidR="00606C11">
              <w:rPr>
                <w:noProof/>
                <w:webHidden/>
              </w:rPr>
              <w:t>5</w:t>
            </w:r>
          </w:hyperlink>
        </w:p>
        <w:p w14:paraId="62AC0657" w14:textId="566F03B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sidR="00606C11">
              <w:rPr>
                <w:noProof/>
                <w:webHidden/>
              </w:rPr>
              <w:t>6</w:t>
            </w:r>
          </w:hyperlink>
        </w:p>
        <w:p w14:paraId="7C7C1962" w14:textId="6AF8D36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sidR="00606C11">
              <w:rPr>
                <w:noProof/>
                <w:webHidden/>
              </w:rPr>
              <w:t>7</w:t>
            </w:r>
          </w:hyperlink>
        </w:p>
        <w:p w14:paraId="3FE6C661" w14:textId="3FD1A55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sidR="00606C11">
              <w:rPr>
                <w:noProof/>
                <w:webHidden/>
              </w:rPr>
              <w:t>8</w:t>
            </w:r>
          </w:hyperlink>
        </w:p>
        <w:p w14:paraId="135541CC" w14:textId="462C9A8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BB415A">
              <w:rPr>
                <w:noProof/>
                <w:webHidden/>
              </w:rPr>
              <w:t>9</w:t>
            </w:r>
            <w:r>
              <w:rPr>
                <w:noProof/>
                <w:webHidden/>
              </w:rPr>
              <w:fldChar w:fldCharType="end"/>
            </w:r>
          </w:hyperlink>
        </w:p>
        <w:p w14:paraId="48C9D852" w14:textId="755680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BB415A">
              <w:rPr>
                <w:noProof/>
                <w:webHidden/>
              </w:rPr>
              <w:t>10</w:t>
            </w:r>
            <w:r>
              <w:rPr>
                <w:noProof/>
                <w:webHidden/>
              </w:rPr>
              <w:fldChar w:fldCharType="end"/>
            </w:r>
          </w:hyperlink>
        </w:p>
        <w:p w14:paraId="027C97E3" w14:textId="115D9AB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BB415A">
              <w:rPr>
                <w:noProof/>
                <w:webHidden/>
              </w:rPr>
              <w:t>10</w:t>
            </w:r>
            <w:r>
              <w:rPr>
                <w:noProof/>
                <w:webHidden/>
              </w:rPr>
              <w:fldChar w:fldCharType="end"/>
            </w:r>
          </w:hyperlink>
        </w:p>
        <w:p w14:paraId="00DB87A1" w14:textId="6EECF65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sidR="00606C11">
              <w:rPr>
                <w:noProof/>
                <w:webHidden/>
              </w:rPr>
              <w:t>10</w:t>
            </w:r>
          </w:hyperlink>
        </w:p>
        <w:p w14:paraId="00EEECC2" w14:textId="180B588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sidR="00606C11">
              <w:rPr>
                <w:noProof/>
                <w:webHidden/>
              </w:rPr>
              <w:t>11</w:t>
            </w:r>
          </w:hyperlink>
        </w:p>
        <w:p w14:paraId="68FD7A9A" w14:textId="3AE7933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sidR="00606C11">
              <w:rPr>
                <w:noProof/>
                <w:webHidden/>
              </w:rPr>
              <w:t>11</w:t>
            </w:r>
          </w:hyperlink>
        </w:p>
        <w:p w14:paraId="5F55527F" w14:textId="047CA0B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BB415A">
              <w:rPr>
                <w:noProof/>
                <w:webHidden/>
              </w:rPr>
              <w:t>12</w:t>
            </w:r>
            <w:r>
              <w:rPr>
                <w:noProof/>
                <w:webHidden/>
              </w:rPr>
              <w:fldChar w:fldCharType="end"/>
            </w:r>
          </w:hyperlink>
        </w:p>
        <w:p w14:paraId="674ABB69" w14:textId="46C8336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BB415A">
              <w:rPr>
                <w:noProof/>
                <w:webHidden/>
              </w:rPr>
              <w:t>12</w:t>
            </w:r>
            <w:r>
              <w:rPr>
                <w:noProof/>
                <w:webHidden/>
              </w:rPr>
              <w:fldChar w:fldCharType="end"/>
            </w:r>
          </w:hyperlink>
        </w:p>
        <w:p w14:paraId="39048CDA" w14:textId="22588C6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BB415A">
              <w:rPr>
                <w:noProof/>
                <w:webHidden/>
              </w:rPr>
              <w:t>13</w:t>
            </w:r>
            <w:r>
              <w:rPr>
                <w:noProof/>
                <w:webHidden/>
              </w:rPr>
              <w:fldChar w:fldCharType="end"/>
            </w:r>
          </w:hyperlink>
        </w:p>
        <w:p w14:paraId="7E9C5BA3" w14:textId="6A921D2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BB415A">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1D932F2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identificará como INIFEG y estará sectorizado a la Secretaría de Educación de Guanajuato.</w:t>
      </w:r>
    </w:p>
    <w:p w14:paraId="3283E53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08FC91B3" w14:textId="77777777" w:rsidR="00B57AF7" w:rsidRPr="004E151F"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Con fecha 04 de junio de 2019 se publica en el Periódico Oficial el nuevo Reglamento Interior del Instituto de Infraestructura Física Educativa de Guanajuato, Decreto Gubernativo número 24.</w:t>
      </w:r>
    </w:p>
    <w:p w14:paraId="5C6E2E08" w14:textId="77777777" w:rsidR="00B57AF7" w:rsidRPr="00FA379D"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 Instituto de Infraestructura Física Educativa de Guanajuato INIFEG, en virtud de la adición de atribuciones en materia de infraestructura física educativa.</w:t>
      </w:r>
    </w:p>
    <w:p w14:paraId="09E8D6FB" w14:textId="77777777" w:rsidR="00B57AF7" w:rsidRPr="00FA379D" w:rsidRDefault="00B57AF7" w:rsidP="00B57AF7">
      <w:pPr>
        <w:tabs>
          <w:tab w:val="left" w:leader="underscore" w:pos="9639"/>
        </w:tabs>
        <w:jc w:val="both"/>
        <w:rPr>
          <w:rFonts w:ascii="Arial" w:hAnsi="Arial" w:cs="Arial"/>
          <w:i/>
          <w:iCs/>
          <w:sz w:val="20"/>
          <w:szCs w:val="20"/>
        </w:rPr>
      </w:pPr>
      <w:bookmarkStart w:id="1" w:name="_Hlk125633832"/>
      <w:r w:rsidRPr="00FA379D">
        <w:rPr>
          <w:rFonts w:ascii="Arial" w:hAnsi="Arial" w:cs="Arial"/>
          <w:i/>
          <w:iCs/>
          <w:sz w:val="20"/>
          <w:szCs w:val="20"/>
        </w:rPr>
        <w:t>Así mismo, en la página 109 en el DECRETO Gubernativo Número 121 mediante el cual se expide el Reglamento Interior de la Secretaría de Infraestructura, Conectividad y Movilidad, con fecha 30 de junio de 2022 a través del Periódico Oficial del GOBIERNO DEL ESTADODE GUANAJUATO - PODER EJECUTIVO, señala textualmente lo siguiente;</w:t>
      </w:r>
    </w:p>
    <w:p w14:paraId="448C0824"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noProof/>
          <w:sz w:val="20"/>
          <w:szCs w:val="20"/>
        </w:rPr>
        <w:drawing>
          <wp:inline distT="0" distB="0" distL="0" distR="0" wp14:anchorId="7C1EB8A5" wp14:editId="419E8542">
            <wp:extent cx="5838499" cy="1562100"/>
            <wp:effectExtent l="0" t="0" r="0" b="0"/>
            <wp:docPr id="69333904"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904" name="Imagen 38" descr="Interfaz de usuario gráfica, Texto, Aplicación&#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23839" t="34987" r="23839" b="30853"/>
                    <a:stretch>
                      <a:fillRect/>
                    </a:stretch>
                  </pic:blipFill>
                  <pic:spPr bwMode="auto">
                    <a:xfrm>
                      <a:off x="0" y="0"/>
                      <a:ext cx="5848814" cy="1564860"/>
                    </a:xfrm>
                    <a:prstGeom prst="rect">
                      <a:avLst/>
                    </a:prstGeom>
                    <a:noFill/>
                    <a:ln>
                      <a:noFill/>
                    </a:ln>
                  </pic:spPr>
                </pic:pic>
              </a:graphicData>
            </a:graphic>
          </wp:inline>
        </w:drawing>
      </w:r>
    </w:p>
    <w:p w14:paraId="4B212651" w14:textId="4D51CD18" w:rsidR="00B57AF7" w:rsidRDefault="00B57AF7" w:rsidP="00B57AF7">
      <w:pPr>
        <w:tabs>
          <w:tab w:val="left" w:leader="underscore" w:pos="9639"/>
        </w:tabs>
        <w:jc w:val="both"/>
        <w:rPr>
          <w:rFonts w:ascii="Arial" w:hAnsi="Arial" w:cs="Arial"/>
          <w:i/>
          <w:iCs/>
          <w:sz w:val="20"/>
          <w:szCs w:val="20"/>
        </w:rPr>
      </w:pPr>
      <w:r w:rsidRPr="00FA379D">
        <w:rPr>
          <w:rFonts w:ascii="Arial" w:hAnsi="Arial" w:cs="Arial"/>
          <w:bCs/>
          <w:sz w:val="20"/>
          <w:szCs w:val="20"/>
        </w:rPr>
        <w:t>Por lo tanto, al</w:t>
      </w:r>
      <w:r>
        <w:rPr>
          <w:rFonts w:ascii="Arial" w:hAnsi="Arial" w:cs="Arial"/>
          <w:bCs/>
          <w:sz w:val="20"/>
          <w:szCs w:val="20"/>
        </w:rPr>
        <w:t xml:space="preserve"> </w:t>
      </w:r>
      <w:r w:rsidR="001929AA">
        <w:rPr>
          <w:rFonts w:ascii="Arial" w:hAnsi="Arial" w:cs="Arial"/>
          <w:bCs/>
          <w:sz w:val="20"/>
          <w:szCs w:val="20"/>
        </w:rPr>
        <w:t>1er</w:t>
      </w:r>
      <w:r w:rsidRPr="00FA379D">
        <w:rPr>
          <w:rFonts w:ascii="Arial" w:hAnsi="Arial" w:cs="Arial"/>
          <w:bCs/>
          <w:sz w:val="20"/>
          <w:szCs w:val="20"/>
        </w:rPr>
        <w:t>. trimestre 202</w:t>
      </w:r>
      <w:r w:rsidR="001929AA">
        <w:rPr>
          <w:rFonts w:ascii="Arial" w:hAnsi="Arial" w:cs="Arial"/>
          <w:bCs/>
          <w:sz w:val="20"/>
          <w:szCs w:val="20"/>
        </w:rPr>
        <w:t>5</w:t>
      </w:r>
      <w:r w:rsidRPr="00FA379D">
        <w:rPr>
          <w:rFonts w:ascii="Arial" w:hAnsi="Arial" w:cs="Arial"/>
          <w:bCs/>
          <w:sz w:val="20"/>
          <w:szCs w:val="20"/>
        </w:rPr>
        <w:t xml:space="preserve"> (</w:t>
      </w:r>
      <w:r>
        <w:rPr>
          <w:rFonts w:ascii="Arial" w:hAnsi="Arial" w:cs="Arial"/>
          <w:bCs/>
          <w:sz w:val="20"/>
          <w:szCs w:val="20"/>
        </w:rPr>
        <w:t>3</w:t>
      </w:r>
      <w:r w:rsidR="009A1AA8">
        <w:rPr>
          <w:rFonts w:ascii="Arial" w:hAnsi="Arial" w:cs="Arial"/>
          <w:bCs/>
          <w:sz w:val="20"/>
          <w:szCs w:val="20"/>
        </w:rPr>
        <w:t>1</w:t>
      </w:r>
      <w:r>
        <w:rPr>
          <w:rFonts w:ascii="Arial" w:hAnsi="Arial" w:cs="Arial"/>
          <w:bCs/>
          <w:sz w:val="20"/>
          <w:szCs w:val="20"/>
        </w:rPr>
        <w:t xml:space="preserve"> de </w:t>
      </w:r>
      <w:r w:rsidR="001929AA">
        <w:rPr>
          <w:rFonts w:ascii="Arial" w:hAnsi="Arial" w:cs="Arial"/>
          <w:bCs/>
          <w:sz w:val="20"/>
          <w:szCs w:val="20"/>
        </w:rPr>
        <w:t>Marzo</w:t>
      </w:r>
      <w:r>
        <w:rPr>
          <w:rFonts w:ascii="Arial" w:hAnsi="Arial" w:cs="Arial"/>
          <w:bCs/>
          <w:sz w:val="20"/>
          <w:szCs w:val="20"/>
        </w:rPr>
        <w:t xml:space="preserve"> de 202</w:t>
      </w:r>
      <w:r w:rsidR="001929AA">
        <w:rPr>
          <w:rFonts w:ascii="Arial" w:hAnsi="Arial" w:cs="Arial"/>
          <w:bCs/>
          <w:sz w:val="20"/>
          <w:szCs w:val="20"/>
        </w:rPr>
        <w:t>5</w:t>
      </w:r>
      <w:r w:rsidRPr="00FA379D">
        <w:rPr>
          <w:rFonts w:ascii="Arial" w:hAnsi="Arial" w:cs="Arial"/>
          <w:bCs/>
          <w:sz w:val="20"/>
          <w:szCs w:val="20"/>
        </w:rPr>
        <w:t xml:space="preserve">), el Instituto de Infraestructura </w:t>
      </w:r>
      <w:r w:rsidR="00643374" w:rsidRPr="00FA379D">
        <w:rPr>
          <w:rFonts w:ascii="Arial" w:hAnsi="Arial" w:cs="Arial"/>
          <w:bCs/>
          <w:sz w:val="20"/>
          <w:szCs w:val="20"/>
        </w:rPr>
        <w:t>Física</w:t>
      </w:r>
      <w:r w:rsidRPr="00FA379D">
        <w:rPr>
          <w:rFonts w:ascii="Arial" w:hAnsi="Arial" w:cs="Arial"/>
          <w:bCs/>
          <w:sz w:val="20"/>
          <w:szCs w:val="20"/>
        </w:rPr>
        <w:t xml:space="preserve"> Educativa de Guanajuato se encuentra en Proceso de Extinción y está </w:t>
      </w:r>
      <w:r w:rsidRPr="00FA379D">
        <w:rPr>
          <w:rFonts w:ascii="Arial" w:hAnsi="Arial" w:cs="Arial"/>
          <w:b/>
          <w:sz w:val="20"/>
          <w:szCs w:val="20"/>
        </w:rPr>
        <w:t>ACTIVO</w:t>
      </w:r>
      <w:r w:rsidRPr="00FA379D">
        <w:rPr>
          <w:rFonts w:ascii="Arial" w:hAnsi="Arial" w:cs="Arial"/>
          <w:bCs/>
          <w:sz w:val="20"/>
          <w:szCs w:val="20"/>
        </w:rPr>
        <w:t xml:space="preserve">, cumpliendo con los procesos, obligaciones y/o actividades señaladas por las autoridades competentes, para una vez finalizado este proceso, el INIFEG, entre en Liquidación, y de pie a trámites de carácter Fiscal, Jurídico, Contable y  presupuestal y en lo subsecuente concluya mediante la Publicación en el </w:t>
      </w:r>
      <w:r w:rsidRPr="00FA379D">
        <w:rPr>
          <w:rFonts w:ascii="Arial" w:hAnsi="Arial" w:cs="Arial"/>
          <w:i/>
          <w:iCs/>
          <w:sz w:val="20"/>
          <w:szCs w:val="20"/>
        </w:rPr>
        <w:t>Periódico Oficial del GOBIERNO DEL ESTADO</w:t>
      </w:r>
      <w:r w:rsidR="00DB3F4E">
        <w:rPr>
          <w:rFonts w:ascii="Arial" w:hAnsi="Arial" w:cs="Arial"/>
          <w:i/>
          <w:iCs/>
          <w:sz w:val="20"/>
          <w:szCs w:val="20"/>
        </w:rPr>
        <w:t xml:space="preserve"> </w:t>
      </w:r>
      <w:r w:rsidRPr="00FA379D">
        <w:rPr>
          <w:rFonts w:ascii="Arial" w:hAnsi="Arial" w:cs="Arial"/>
          <w:i/>
          <w:iCs/>
          <w:sz w:val="20"/>
          <w:szCs w:val="20"/>
        </w:rPr>
        <w:t>DE GUANAJUATO, que el INIFEG ha sido LIQUIDADO.</w:t>
      </w:r>
    </w:p>
    <w:p w14:paraId="2A4CA81B" w14:textId="77777777" w:rsidR="00DB3F4E" w:rsidRPr="004E151F" w:rsidRDefault="00DB3F4E" w:rsidP="00B57AF7">
      <w:pPr>
        <w:tabs>
          <w:tab w:val="left" w:leader="underscore" w:pos="9639"/>
        </w:tabs>
        <w:jc w:val="both"/>
        <w:rPr>
          <w:rFonts w:ascii="Arial" w:hAnsi="Arial" w:cs="Arial"/>
          <w:sz w:val="20"/>
          <w:szCs w:val="20"/>
        </w:rPr>
      </w:pPr>
    </w:p>
    <w:bookmarkEnd w:id="1"/>
    <w:p w14:paraId="51C7D814" w14:textId="77777777" w:rsidR="00B57AF7" w:rsidRPr="00E74967" w:rsidRDefault="00B57AF7" w:rsidP="00B57AF7">
      <w:pPr>
        <w:tabs>
          <w:tab w:val="left" w:leader="underscore" w:pos="9639"/>
        </w:tabs>
        <w:spacing w:after="0" w:line="240" w:lineRule="auto"/>
        <w:jc w:val="both"/>
        <w:rPr>
          <w:rFonts w:cs="Calibri"/>
        </w:rPr>
      </w:pPr>
      <w:r w:rsidRPr="00E74967">
        <w:rPr>
          <w:rFonts w:cs="Calibri"/>
        </w:rPr>
        <w:lastRenderedPageBreak/>
        <w:t>Se informará sobre:</w:t>
      </w:r>
    </w:p>
    <w:p w14:paraId="7AB94B42" w14:textId="77777777" w:rsidR="00B57AF7" w:rsidRPr="00E74967" w:rsidRDefault="00B57AF7" w:rsidP="00B57AF7">
      <w:pPr>
        <w:tabs>
          <w:tab w:val="left" w:leader="underscore" w:pos="9639"/>
        </w:tabs>
        <w:spacing w:after="0" w:line="240" w:lineRule="auto"/>
        <w:jc w:val="both"/>
        <w:rPr>
          <w:rFonts w:cs="Calibri"/>
        </w:rPr>
      </w:pPr>
    </w:p>
    <w:p w14:paraId="31891492" w14:textId="77777777" w:rsidR="00B57AF7" w:rsidRPr="00065CDB" w:rsidRDefault="00B57AF7" w:rsidP="00B57AF7">
      <w:pPr>
        <w:tabs>
          <w:tab w:val="left" w:leader="underscore" w:pos="9639"/>
        </w:tabs>
        <w:spacing w:after="0" w:line="240" w:lineRule="auto"/>
        <w:jc w:val="both"/>
        <w:rPr>
          <w:rFonts w:cs="Calibri"/>
        </w:rPr>
      </w:pPr>
      <w:bookmarkStart w:id="2" w:name="_Hlk125634275"/>
      <w:bookmarkStart w:id="3"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72E6E69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21 de octubre de 2008 mediante Decreto Gubernativo Núm.83 publicado en el DOF del 21 de octubre del 2008</w:t>
      </w:r>
    </w:p>
    <w:p w14:paraId="1F297950" w14:textId="77777777" w:rsidR="00B57AF7" w:rsidRPr="00FA379D" w:rsidRDefault="00B57AF7" w:rsidP="00B57AF7">
      <w:pPr>
        <w:tabs>
          <w:tab w:val="left" w:leader="underscore" w:pos="9639"/>
        </w:tabs>
        <w:jc w:val="both"/>
        <w:rPr>
          <w:rFonts w:ascii="Arial" w:hAnsi="Arial" w:cs="Arial"/>
          <w:sz w:val="20"/>
          <w:szCs w:val="20"/>
        </w:rPr>
      </w:pPr>
      <w:bookmarkStart w:id="4" w:name="_Hlk30594446"/>
      <w:bookmarkStart w:id="5" w:name="_Hlk77667301"/>
      <w:bookmarkStart w:id="6" w:name="_Hlk30594461"/>
      <w:bookmarkStart w:id="7" w:name="_Hlk3798493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151FC41D"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inició operaciones con diecinueve plazas.</w:t>
      </w:r>
    </w:p>
    <w:p w14:paraId="7EB33C09" w14:textId="77777777" w:rsidR="00B57AF7" w:rsidRPr="00FA379D" w:rsidRDefault="00B57AF7" w:rsidP="00B57AF7">
      <w:pPr>
        <w:tabs>
          <w:tab w:val="left" w:leader="underscore" w:pos="9639"/>
        </w:tabs>
        <w:jc w:val="both"/>
        <w:rPr>
          <w:rFonts w:ascii="Arial" w:hAnsi="Arial" w:cs="Arial"/>
          <w:sz w:val="20"/>
          <w:szCs w:val="20"/>
        </w:rPr>
      </w:pPr>
      <w:bookmarkStart w:id="8" w:name="_Hlk85201731"/>
      <w:bookmarkStart w:id="9" w:name="_Hlk69711708"/>
      <w:r w:rsidRPr="00FA379D">
        <w:rPr>
          <w:rFonts w:ascii="Arial" w:hAnsi="Arial" w:cs="Arial"/>
          <w:sz w:val="20"/>
          <w:szCs w:val="20"/>
        </w:rPr>
        <w:t>En el mes de junio de 2010 se autoriza la cancelación de 1 plaza nivel 9 para re tabular a 3 jefes de departamento a coordinadores.</w:t>
      </w:r>
    </w:p>
    <w:p w14:paraId="3D132B9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237D1A1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octubre del ejercicio 2011 se autoriza por parte de la Secretaría de Finanzas y Administración la Autorización de la Retabulación de los Coordinadores a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w:t>
      </w:r>
    </w:p>
    <w:p w14:paraId="115F18C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2013</w:t>
      </w:r>
    </w:p>
    <w:p w14:paraId="0846997C"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w:t>
      </w:r>
    </w:p>
    <w:p w14:paraId="177AE1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octubre de 2013 se autoriza por parte de la Secretaría de Finanzas Inversión y Administración la creación de la plaza de Coordinador de Comunicación Social nivel 11 y se cancelan dos plazas nivel 7 y 4, haciendo un total de cuarenta plazas.</w:t>
      </w:r>
    </w:p>
    <w:p w14:paraId="603AC7B8" w14:textId="77777777" w:rsidR="00B57AF7" w:rsidRPr="00FA379D" w:rsidRDefault="00B57AF7" w:rsidP="00B57AF7">
      <w:pPr>
        <w:tabs>
          <w:tab w:val="left" w:leader="underscore" w:pos="9639"/>
        </w:tabs>
        <w:jc w:val="both"/>
        <w:rPr>
          <w:rFonts w:ascii="Arial" w:hAnsi="Arial" w:cs="Arial"/>
          <w:b/>
          <w:sz w:val="20"/>
          <w:szCs w:val="20"/>
        </w:rPr>
      </w:pPr>
      <w:bookmarkStart w:id="10" w:name="_Hlk22045039"/>
      <w:bookmarkStart w:id="11" w:name="_Hlk14084456"/>
      <w:r w:rsidRPr="00FA379D">
        <w:rPr>
          <w:rFonts w:ascii="Arial" w:hAnsi="Arial" w:cs="Arial"/>
          <w:b/>
          <w:sz w:val="20"/>
          <w:szCs w:val="20"/>
        </w:rPr>
        <w:t>2014</w:t>
      </w:r>
    </w:p>
    <w:p w14:paraId="4A0CD0A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2014 se autoriza la retabulación de dos plazas mediante movimiento compensado realizando la democión de un nivel 11 a 9 y la retabulación de una 9 a 11.</w:t>
      </w:r>
    </w:p>
    <w:p w14:paraId="68ACBB2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de 2014 se autoriza la retabulación de una plaza de nivel 15 a 16</w:t>
      </w:r>
    </w:p>
    <w:p w14:paraId="4595B5D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abril de 2014 se autoriza por parte de la Secretaría de Finanzas Inversión y Administración la democión de dos plazas de supervisores de obra de nivel 8 a 7, la retabulación de una plaza nivel 3 a 4 y el cambio del Área de Costos de la Dirección Técnica a la Dirección de Planeación.</w:t>
      </w:r>
      <w:bookmarkEnd w:id="2"/>
    </w:p>
    <w:p w14:paraId="1B6EDD8B" w14:textId="77777777" w:rsidR="00B57AF7" w:rsidRPr="00FA379D" w:rsidRDefault="00B57AF7" w:rsidP="00B57AF7">
      <w:pPr>
        <w:tabs>
          <w:tab w:val="left" w:leader="underscore" w:pos="9639"/>
        </w:tabs>
        <w:jc w:val="both"/>
        <w:rPr>
          <w:rFonts w:ascii="Arial" w:hAnsi="Arial" w:cs="Arial"/>
          <w:sz w:val="20"/>
          <w:szCs w:val="20"/>
        </w:rPr>
      </w:pPr>
      <w:bookmarkStart w:id="12" w:name="_Hlk6143189"/>
      <w:bookmarkEnd w:id="4"/>
      <w:r w:rsidRPr="00FA379D">
        <w:rPr>
          <w:rFonts w:ascii="Arial" w:hAnsi="Arial" w:cs="Arial"/>
          <w:sz w:val="20"/>
          <w:szCs w:val="20"/>
        </w:rPr>
        <w:t>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w:t>
      </w:r>
      <w:bookmarkEnd w:id="3"/>
      <w:bookmarkEnd w:id="5"/>
    </w:p>
    <w:p w14:paraId="0735D373" w14:textId="77777777" w:rsidR="00B57AF7" w:rsidRPr="00FA379D" w:rsidRDefault="00B57AF7" w:rsidP="00B57AF7">
      <w:pPr>
        <w:tabs>
          <w:tab w:val="left" w:leader="underscore" w:pos="9639"/>
        </w:tabs>
        <w:jc w:val="both"/>
        <w:rPr>
          <w:rFonts w:ascii="Arial" w:hAnsi="Arial" w:cs="Arial"/>
          <w:sz w:val="20"/>
          <w:szCs w:val="20"/>
        </w:rPr>
      </w:pPr>
      <w:bookmarkStart w:id="13" w:name="_Hlk125634296"/>
      <w:bookmarkStart w:id="14" w:name="_Hlk125634307"/>
      <w:bookmarkEnd w:id="6"/>
      <w:bookmarkEnd w:id="8"/>
      <w:r w:rsidRPr="00FA379D">
        <w:rPr>
          <w:rFonts w:ascii="Arial" w:hAnsi="Arial" w:cs="Arial"/>
          <w:sz w:val="20"/>
          <w:szCs w:val="20"/>
        </w:rPr>
        <w:t xml:space="preserve">En el mes de octubre del mismo año se autoriza por parte de la Secretaría de Finanzas Inversión y Administración la retabulación de nivel 16 a 17 y el cambio de la Plaza de Proyectista de la Dirección de Planeación a la Dirección Técnica como </w:t>
      </w:r>
      <w:proofErr w:type="gramStart"/>
      <w:r w:rsidRPr="00FA379D">
        <w:rPr>
          <w:rFonts w:ascii="Arial" w:hAnsi="Arial" w:cs="Arial"/>
          <w:sz w:val="20"/>
          <w:szCs w:val="20"/>
        </w:rPr>
        <w:t>Jefe</w:t>
      </w:r>
      <w:proofErr w:type="gramEnd"/>
      <w:r w:rsidRPr="00FA379D">
        <w:rPr>
          <w:rFonts w:ascii="Arial" w:hAnsi="Arial" w:cs="Arial"/>
          <w:sz w:val="20"/>
          <w:szCs w:val="20"/>
        </w:rPr>
        <w:t xml:space="preserve"> de Seguimiento y Control de Obra.</w:t>
      </w:r>
      <w:bookmarkEnd w:id="9"/>
    </w:p>
    <w:bookmarkEnd w:id="7"/>
    <w:p w14:paraId="76A3D82C" w14:textId="77777777" w:rsidR="00DB3F4E" w:rsidRDefault="00DB3F4E" w:rsidP="00B57AF7">
      <w:pPr>
        <w:tabs>
          <w:tab w:val="left" w:leader="underscore" w:pos="9639"/>
        </w:tabs>
        <w:jc w:val="both"/>
        <w:rPr>
          <w:rFonts w:ascii="Arial" w:hAnsi="Arial" w:cs="Arial"/>
          <w:b/>
          <w:bCs/>
          <w:sz w:val="20"/>
          <w:szCs w:val="20"/>
        </w:rPr>
      </w:pPr>
    </w:p>
    <w:p w14:paraId="36FD8DDD" w14:textId="1B4D1178" w:rsidR="00B57AF7" w:rsidRPr="00FA379D" w:rsidRDefault="00B57AF7" w:rsidP="00B57AF7">
      <w:pPr>
        <w:tabs>
          <w:tab w:val="left" w:leader="underscore" w:pos="9639"/>
        </w:tabs>
        <w:jc w:val="both"/>
        <w:rPr>
          <w:rFonts w:ascii="Arial" w:hAnsi="Arial" w:cs="Arial"/>
          <w:b/>
          <w:bCs/>
          <w:sz w:val="20"/>
          <w:szCs w:val="20"/>
        </w:rPr>
      </w:pPr>
      <w:r w:rsidRPr="00FA379D">
        <w:rPr>
          <w:rFonts w:ascii="Arial" w:hAnsi="Arial" w:cs="Arial"/>
          <w:b/>
          <w:bCs/>
          <w:sz w:val="20"/>
          <w:szCs w:val="20"/>
        </w:rPr>
        <w:lastRenderedPageBreak/>
        <w:t>2015</w:t>
      </w:r>
    </w:p>
    <w:p w14:paraId="38381BC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mayo de 2015 se autoriza por parte de la Secretaría de Finanzas Inversión y Administración el cambio de la Plaza Auxiliar Administrativo de la Dirección General a la Dirección Administrativa.</w:t>
      </w:r>
    </w:p>
    <w:p w14:paraId="5B8E2F27"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agosto de 2015 se autoriza por parte de la Secretaría de Finanzas Inversión y Administración la retabulación de doce plazas, de las cuales cuatro son de los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de nivel 12 a 13, dos </w:t>
      </w:r>
      <w:proofErr w:type="gramStart"/>
      <w:r w:rsidRPr="00FA379D">
        <w:rPr>
          <w:rFonts w:ascii="Arial" w:hAnsi="Arial" w:cs="Arial"/>
          <w:sz w:val="20"/>
          <w:szCs w:val="20"/>
        </w:rPr>
        <w:t>Jefes</w:t>
      </w:r>
      <w:proofErr w:type="gramEnd"/>
      <w:r w:rsidRPr="00FA379D">
        <w:rPr>
          <w:rFonts w:ascii="Arial" w:hAnsi="Arial" w:cs="Arial"/>
          <w:sz w:val="20"/>
          <w:szCs w:val="20"/>
        </w:rPr>
        <w:t xml:space="preserve"> de Proyectos de nivel 8 a 9, dos jefes de costos de nivel 7 a 9, dos Coordinadores de Supervisión de Obra de nivel 7 y 8 a nivel 9 ambas, del Coordinador de Recursos Financieros de nivel 7 a 9 y del Coordinador de Recursos de Inversión de nivel 8 a 9.</w:t>
      </w:r>
      <w:bookmarkEnd w:id="10"/>
      <w:bookmarkEnd w:id="11"/>
      <w:bookmarkEnd w:id="12"/>
    </w:p>
    <w:p w14:paraId="78B3DC2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2016</w:t>
      </w:r>
    </w:p>
    <w:p w14:paraId="2711E770"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mayo de 2016 se autorizan por parte de la Secretaría de Finanzas Inversión y Administración la creación de treinta y seis plazas, 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 nivel 2, dos Responsable de Recursos de Inversión nivel 6, dos Supervisor de Costos nivel 6, una Supervisor de Expedientes Técnicos nivel 6,  trece Supervisor de Obra nivel 6 y siete Supervisor de Proyectos.</w:t>
      </w:r>
    </w:p>
    <w:p w14:paraId="74E885B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 xml:space="preserve">En el mes de junio de 2016, se autoriza por parte de la Secretaría de Finanzas Inversión y Administración la creación de cuatro nuevas plazas, un Coordinador de Diagnóstico nivel 9, un </w:t>
      </w:r>
      <w:proofErr w:type="gramStart"/>
      <w:r w:rsidRPr="00FA379D">
        <w:rPr>
          <w:rFonts w:ascii="Arial" w:hAnsi="Arial" w:cs="Arial"/>
          <w:bCs/>
          <w:sz w:val="20"/>
          <w:szCs w:val="20"/>
        </w:rPr>
        <w:t>Jefe</w:t>
      </w:r>
      <w:proofErr w:type="gramEnd"/>
      <w:r w:rsidRPr="00FA379D">
        <w:rPr>
          <w:rFonts w:ascii="Arial" w:hAnsi="Arial" w:cs="Arial"/>
          <w:bCs/>
          <w:sz w:val="20"/>
          <w:szCs w:val="20"/>
        </w:rPr>
        <w:t xml:space="preserve"> de Costos nivel 8, un jefe de proyectos nivel 8 y un Programador de Sistemas de Control de Obra, así como la retabulación de la plaza Coordinador de Control Técnico de nivel 6 a 8.</w:t>
      </w:r>
    </w:p>
    <w:p w14:paraId="175F532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bookmarkEnd w:id="13"/>
    </w:p>
    <w:p w14:paraId="3F065264"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2017</w:t>
      </w:r>
    </w:p>
    <w:p w14:paraId="7093A1E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febrero de 2017, la Secretaría de Finanzas Inversión y Administración autoriza cambio de jefe y de unidad organizativa de tres puestos y un cambio de datos presupuestales.</w:t>
      </w:r>
    </w:p>
    <w:p w14:paraId="6AB68051"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2018</w:t>
      </w:r>
    </w:p>
    <w:p w14:paraId="76659131"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2018, la Secretaría de Finanzas Inversión y Administración autorizo la retabulación de treinta y una plazas de nivel 6 a nivel 7 y una de nivel 11 a nivel 12.</w:t>
      </w:r>
    </w:p>
    <w:p w14:paraId="318008FA" w14:textId="77777777" w:rsidR="00B57AF7" w:rsidRPr="00FA379D" w:rsidRDefault="00B57AF7" w:rsidP="00B57AF7">
      <w:pPr>
        <w:tabs>
          <w:tab w:val="left" w:leader="underscore" w:pos="9639"/>
        </w:tabs>
        <w:jc w:val="both"/>
        <w:rPr>
          <w:rFonts w:ascii="Arial" w:hAnsi="Arial" w:cs="Arial"/>
          <w:bCs/>
          <w:sz w:val="20"/>
          <w:szCs w:val="20"/>
        </w:rPr>
      </w:pPr>
    </w:p>
    <w:bookmarkEnd w:id="14"/>
    <w:p w14:paraId="17E5222F"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2018 la Secretaría de Finanzas Inversión y Administración autorizo la cancelación de una plaza nivel 7 y retabulación de dos plazas nivel 9 a 10 y una plaza nivel 8 a 9.</w:t>
      </w:r>
    </w:p>
    <w:p w14:paraId="4C5D23DD"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Coordinador de Comunicación Social nivel 11 a la Coordinación de Comunicación Social.</w:t>
      </w:r>
    </w:p>
    <w:p w14:paraId="1B161ED8" w14:textId="77777777" w:rsidR="00DB3F4E" w:rsidRDefault="00DB3F4E" w:rsidP="00B57AF7">
      <w:pPr>
        <w:tabs>
          <w:tab w:val="left" w:leader="underscore" w:pos="9639"/>
        </w:tabs>
        <w:jc w:val="both"/>
        <w:rPr>
          <w:rFonts w:ascii="Arial" w:hAnsi="Arial" w:cs="Arial"/>
          <w:b/>
          <w:sz w:val="20"/>
          <w:szCs w:val="20"/>
        </w:rPr>
      </w:pPr>
    </w:p>
    <w:p w14:paraId="2C35B75E" w14:textId="06A8F6F1"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lastRenderedPageBreak/>
        <w:t>2019</w:t>
      </w:r>
    </w:p>
    <w:p w14:paraId="23C8621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 autorizo cambios estructurales, cinco cambios de denominación funcional, trece cambios de unidad organizativa y jefe inmediato, la creación de una unidad organizativa, y tres cambios de datos presupuestales.</w:t>
      </w:r>
    </w:p>
    <w:p w14:paraId="59672CF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2021</w:t>
      </w:r>
    </w:p>
    <w:p w14:paraId="66351D87"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w:t>
      </w:r>
    </w:p>
    <w:p w14:paraId="1EBAB26A"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2021 la Secretaría de Finanzas Inversión y Administración autoriza la cancelación de tres puestos definitivos, un nivel nueve y dos niveles siete y la cancelación de trece contratos de honorarios asimilados a salarios.</w:t>
      </w:r>
    </w:p>
    <w:p w14:paraId="7B5B5556"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2022</w:t>
      </w:r>
    </w:p>
    <w:p w14:paraId="79E5B35C"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2022 la Secretaría de Finanzas Inversión y Administración valida mediante el Sistema Rector SAP el cambio estructural mediante el cual se transfieren setenta y siete puestos definitivos y cincuenta y tres contratos de honorarios asimilados a salarios de la Sociedad IIEG a la Sociedad GEG.</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5"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5"/>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AC1B375" w14:textId="77777777" w:rsidR="00B57AF7" w:rsidRDefault="00B57AF7" w:rsidP="00516A8F">
      <w:pPr>
        <w:tabs>
          <w:tab w:val="left" w:leader="underscore" w:pos="9639"/>
        </w:tabs>
        <w:spacing w:after="0" w:line="240" w:lineRule="auto"/>
        <w:jc w:val="both"/>
        <w:rPr>
          <w:rFonts w:cs="Calibri"/>
        </w:rPr>
      </w:pPr>
    </w:p>
    <w:p w14:paraId="56201E2B" w14:textId="540E6871" w:rsidR="00B57AF7" w:rsidRPr="004E151F" w:rsidRDefault="00B57AF7" w:rsidP="00B57AF7">
      <w:pPr>
        <w:tabs>
          <w:tab w:val="left" w:leader="underscore" w:pos="9639"/>
        </w:tabs>
        <w:jc w:val="both"/>
        <w:rPr>
          <w:rFonts w:ascii="Arial" w:hAnsi="Arial" w:cs="Arial"/>
          <w:sz w:val="20"/>
          <w:szCs w:val="20"/>
          <w:u w:val="single"/>
        </w:rPr>
      </w:pPr>
      <w:r w:rsidRPr="00FA379D">
        <w:rPr>
          <w:rFonts w:ascii="Arial" w:hAnsi="Arial" w:cs="Arial"/>
          <w:sz w:val="20"/>
          <w:szCs w:val="20"/>
        </w:rPr>
        <w:t>No aplica para el sector paraestatal</w:t>
      </w:r>
      <w:r>
        <w:rPr>
          <w:rFonts w:ascii="Arial" w:hAnsi="Arial" w:cs="Arial"/>
          <w:sz w:val="20"/>
          <w:szCs w:val="20"/>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16"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16"/>
    </w:p>
    <w:p w14:paraId="6C85E52D" w14:textId="77777777" w:rsidR="007D1E76" w:rsidRPr="00E74967" w:rsidRDefault="007D1E76" w:rsidP="00CB41C4">
      <w:pPr>
        <w:tabs>
          <w:tab w:val="left" w:leader="underscore" w:pos="9639"/>
        </w:tabs>
        <w:spacing w:after="0" w:line="240" w:lineRule="auto"/>
        <w:jc w:val="both"/>
        <w:rPr>
          <w:rFonts w:cs="Calibri"/>
        </w:rPr>
      </w:pPr>
    </w:p>
    <w:p w14:paraId="109881B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45B4FE7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4B929217" w14:textId="77777777" w:rsidR="00B57AF7" w:rsidRPr="004E151F" w:rsidRDefault="00B57AF7" w:rsidP="00B57AF7">
      <w:pPr>
        <w:tabs>
          <w:tab w:val="left" w:leader="underscore" w:pos="9639"/>
        </w:tabs>
        <w:jc w:val="both"/>
        <w:rPr>
          <w:rFonts w:ascii="Arial" w:hAnsi="Arial" w:cs="Arial"/>
          <w:b/>
          <w:sz w:val="20"/>
          <w:szCs w:val="20"/>
        </w:rPr>
      </w:pPr>
      <w:r w:rsidRPr="00FA379D">
        <w:rPr>
          <w:rFonts w:ascii="Arial" w:hAnsi="Arial" w:cs="Arial"/>
          <w:sz w:val="20"/>
          <w:szCs w:val="20"/>
        </w:rPr>
        <w:t>Ser un Instituto que fortalezca la Infraestructura Educativa en el Estado de Guanajuato trabajando en equipo, mediante la correcta administración de los recursos.</w:t>
      </w:r>
    </w:p>
    <w:p w14:paraId="50FB500D" w14:textId="77777777" w:rsidR="00B57AF7" w:rsidRPr="00FA379D" w:rsidRDefault="00B57AF7" w:rsidP="00B57AF7">
      <w:pPr>
        <w:tabs>
          <w:tab w:val="left" w:leader="underscore" w:pos="9639"/>
        </w:tabs>
        <w:jc w:val="both"/>
        <w:rPr>
          <w:rFonts w:ascii="Arial" w:hAnsi="Arial" w:cs="Arial"/>
          <w:sz w:val="20"/>
          <w:szCs w:val="20"/>
        </w:rPr>
      </w:pPr>
      <w:bookmarkStart w:id="17"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543AD87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708E3918"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lastRenderedPageBreak/>
        <w:t>c)</w:t>
      </w:r>
      <w:r w:rsidRPr="00FA379D">
        <w:rPr>
          <w:rFonts w:ascii="Arial" w:hAnsi="Arial" w:cs="Arial"/>
          <w:sz w:val="20"/>
          <w:szCs w:val="20"/>
        </w:rPr>
        <w:t xml:space="preserve"> Ejercicio fiscal</w:t>
      </w:r>
    </w:p>
    <w:p w14:paraId="1B3149F4" w14:textId="6CEE2661"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Enero a </w:t>
      </w:r>
      <w:proofErr w:type="gramStart"/>
      <w:r w:rsidRPr="00FA379D">
        <w:rPr>
          <w:rFonts w:ascii="Arial" w:hAnsi="Arial" w:cs="Arial"/>
          <w:sz w:val="20"/>
          <w:szCs w:val="20"/>
        </w:rPr>
        <w:t>Diciembre</w:t>
      </w:r>
      <w:proofErr w:type="gramEnd"/>
      <w:r w:rsidRPr="00FA379D">
        <w:rPr>
          <w:rFonts w:ascii="Arial" w:hAnsi="Arial" w:cs="Arial"/>
          <w:sz w:val="20"/>
          <w:szCs w:val="20"/>
        </w:rPr>
        <w:t xml:space="preserve"> de 202</w:t>
      </w:r>
      <w:r w:rsidR="001929AA">
        <w:rPr>
          <w:rFonts w:ascii="Arial" w:hAnsi="Arial" w:cs="Arial"/>
          <w:sz w:val="20"/>
          <w:szCs w:val="20"/>
        </w:rPr>
        <w:t>5</w:t>
      </w:r>
      <w:r w:rsidRPr="00FA379D">
        <w:rPr>
          <w:rFonts w:ascii="Arial" w:hAnsi="Arial" w:cs="Arial"/>
          <w:sz w:val="20"/>
          <w:szCs w:val="20"/>
        </w:rPr>
        <w:t>.</w:t>
      </w:r>
    </w:p>
    <w:p w14:paraId="4CEECF6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w:t>
      </w:r>
    </w:p>
    <w:p w14:paraId="0097CAB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Personas Morales con Fines no Lucrativos.</w:t>
      </w:r>
    </w:p>
    <w:p w14:paraId="5A485A3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Organismo Público descentralizado con personalidad y patrimonio propio</w:t>
      </w:r>
    </w:p>
    <w:p w14:paraId="24BAEA3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Consideraciones fiscales del ente: Revelar el tipo de contribuciones que esté obligado a pagar o retener.</w:t>
      </w:r>
    </w:p>
    <w:p w14:paraId="31B848A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anual donde se informe sobre las retenciones de los trabajadores que recibieron sueldos y salarios y trabajadores asimilados a salarios.</w:t>
      </w:r>
    </w:p>
    <w:p w14:paraId="05C7EE2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Presentar la declaración y pago provisional mensual de Impuesto Sobre la Renta (ISR) por las retenciones realizadas a los trabajadores asimilados a salarios.</w:t>
      </w:r>
    </w:p>
    <w:p w14:paraId="6207626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mensual del Impuesto sobre Nómina.</w:t>
      </w:r>
      <w:bookmarkStart w:id="18" w:name="_Hlk14084660"/>
      <w:bookmarkEnd w:id="17"/>
    </w:p>
    <w:p w14:paraId="50579B6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Estructura organizacional básica.</w:t>
      </w:r>
    </w:p>
    <w:p w14:paraId="4BF2AEC4" w14:textId="78604C3D" w:rsidR="00B57AF7" w:rsidRPr="00FA379D" w:rsidRDefault="00B57AF7" w:rsidP="00B57AF7">
      <w:pPr>
        <w:tabs>
          <w:tab w:val="left" w:leader="underscore" w:pos="9639"/>
        </w:tabs>
        <w:jc w:val="both"/>
        <w:rPr>
          <w:rFonts w:ascii="Arial" w:hAnsi="Arial" w:cs="Arial"/>
          <w:sz w:val="20"/>
          <w:szCs w:val="20"/>
        </w:rPr>
      </w:pPr>
      <w:bookmarkStart w:id="19" w:name="_Hlk37984969"/>
      <w:bookmarkStart w:id="20" w:name="_Hlk22045151"/>
      <w:bookmarkStart w:id="21" w:name="_Hlk69711750"/>
      <w:bookmarkStart w:id="22" w:name="_Hlk85201787"/>
      <w:bookmarkEnd w:id="18"/>
      <w:r w:rsidRPr="00FA379D">
        <w:rPr>
          <w:rFonts w:ascii="Arial" w:hAnsi="Arial" w:cs="Arial"/>
          <w:sz w:val="20"/>
          <w:szCs w:val="20"/>
        </w:rPr>
        <w:t xml:space="preserve">El </w:t>
      </w:r>
      <w:r w:rsidRPr="00FA379D">
        <w:rPr>
          <w:rFonts w:ascii="Arial" w:hAnsi="Arial" w:cs="Arial"/>
          <w:b/>
          <w:bCs/>
          <w:color w:val="000000"/>
          <w:sz w:val="20"/>
          <w:szCs w:val="20"/>
          <w:lang w:eastAsia="es-MX"/>
        </w:rPr>
        <w:t>Instituto de Infraestructura Física Educativa de Guanajuato</w:t>
      </w:r>
      <w:r w:rsidRPr="00FA379D">
        <w:rPr>
          <w:rFonts w:ascii="Arial" w:hAnsi="Arial" w:cs="Arial"/>
          <w:color w:val="000000"/>
          <w:sz w:val="20"/>
          <w:szCs w:val="20"/>
          <w:lang w:eastAsia="es-MX"/>
        </w:rPr>
        <w:t xml:space="preserve">, no tiene una estructura organizacional básica, en el periodo </w:t>
      </w:r>
      <w:r w:rsidRPr="00FA379D">
        <w:rPr>
          <w:rFonts w:ascii="Arial" w:hAnsi="Arial" w:cs="Arial"/>
          <w:i/>
          <w:iCs/>
          <w:color w:val="000000"/>
          <w:sz w:val="20"/>
          <w:szCs w:val="20"/>
          <w:lang w:eastAsia="es-MX"/>
        </w:rPr>
        <w:t xml:space="preserve">Enero - </w:t>
      </w:r>
      <w:proofErr w:type="gramStart"/>
      <w:r w:rsidRPr="00FA379D">
        <w:rPr>
          <w:rFonts w:ascii="Arial" w:hAnsi="Arial" w:cs="Arial"/>
          <w:i/>
          <w:iCs/>
          <w:color w:val="000000"/>
          <w:sz w:val="20"/>
          <w:szCs w:val="20"/>
          <w:lang w:eastAsia="es-MX"/>
        </w:rPr>
        <w:t>Diciembre</w:t>
      </w:r>
      <w:proofErr w:type="gramEnd"/>
      <w:r w:rsidRPr="00FA379D">
        <w:rPr>
          <w:rFonts w:ascii="Arial" w:hAnsi="Arial" w:cs="Arial"/>
          <w:i/>
          <w:iCs/>
          <w:color w:val="000000"/>
          <w:sz w:val="20"/>
          <w:szCs w:val="20"/>
          <w:lang w:eastAsia="es-MX"/>
        </w:rPr>
        <w:t xml:space="preserve"> 202</w:t>
      </w:r>
      <w:r w:rsidR="009562D7">
        <w:rPr>
          <w:rFonts w:ascii="Arial" w:hAnsi="Arial" w:cs="Arial"/>
          <w:i/>
          <w:iCs/>
          <w:color w:val="000000"/>
          <w:sz w:val="20"/>
          <w:szCs w:val="20"/>
          <w:lang w:eastAsia="es-MX"/>
        </w:rPr>
        <w:t>5</w:t>
      </w:r>
      <w:r w:rsidRPr="00FA379D">
        <w:rPr>
          <w:rFonts w:ascii="Arial" w:hAnsi="Arial" w:cs="Arial"/>
          <w:color w:val="000000"/>
          <w:sz w:val="20"/>
          <w:szCs w:val="20"/>
          <w:lang w:eastAsia="es-MX"/>
        </w:rPr>
        <w:t>, en virtud del comienzo del proceso de extinción del Ente, en referencia al Decreto número 6 publicado en el Periódico Oficial del Gobierno del Estado de Guanajuato número 233 Segunda Parte de fecha 23 de noviembre 2021</w:t>
      </w:r>
    </w:p>
    <w:p w14:paraId="38276C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fideicomisario</w:t>
      </w:r>
    </w:p>
    <w:p w14:paraId="5B8B4E4A" w14:textId="3AAA0D26" w:rsidR="00B57AF7" w:rsidRPr="004E151F" w:rsidRDefault="00B57AF7" w:rsidP="00B57AF7">
      <w:pPr>
        <w:jc w:val="both"/>
        <w:rPr>
          <w:rFonts w:ascii="Arial" w:hAnsi="Arial" w:cs="Arial"/>
          <w:color w:val="000000"/>
          <w:sz w:val="20"/>
          <w:szCs w:val="20"/>
          <w:lang w:eastAsia="es-MX"/>
        </w:rPr>
      </w:pPr>
      <w:r w:rsidRPr="00FA379D">
        <w:rPr>
          <w:rFonts w:ascii="Arial" w:hAnsi="Arial" w:cs="Arial"/>
          <w:color w:val="000000"/>
          <w:sz w:val="20"/>
          <w:szCs w:val="20"/>
          <w:lang w:eastAsia="es-MX"/>
        </w:rPr>
        <w:t>Este Instituto de Infraestructura Física Educativa de Guanajuato no cuenta con Fideicomisos</w:t>
      </w:r>
      <w:bookmarkEnd w:id="19"/>
      <w:bookmarkEnd w:id="20"/>
      <w:bookmarkEnd w:id="21"/>
      <w:r w:rsidR="00DB3F4E">
        <w:rPr>
          <w:rFonts w:ascii="Arial" w:hAnsi="Arial" w:cs="Arial"/>
          <w:color w:val="000000"/>
          <w:sz w:val="20"/>
          <w:szCs w:val="20"/>
          <w:lang w:eastAsia="es-MX"/>
        </w:rPr>
        <w:t>.</w:t>
      </w:r>
    </w:p>
    <w:bookmarkEnd w:id="22"/>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2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23"/>
    </w:p>
    <w:p w14:paraId="2EAE084B" w14:textId="77777777" w:rsidR="00B57AF7" w:rsidRPr="00FA379D" w:rsidRDefault="00B57AF7" w:rsidP="00B57AF7">
      <w:pPr>
        <w:tabs>
          <w:tab w:val="left" w:leader="underscore" w:pos="9639"/>
        </w:tabs>
        <w:jc w:val="both"/>
        <w:rPr>
          <w:rFonts w:ascii="Arial" w:hAnsi="Arial" w:cs="Arial"/>
          <w:sz w:val="20"/>
          <w:szCs w:val="20"/>
        </w:rPr>
      </w:pPr>
      <w:bookmarkStart w:id="24" w:name="_Toc161472870"/>
      <w:r w:rsidRPr="00FA379D">
        <w:rPr>
          <w:rFonts w:ascii="Arial" w:hAnsi="Arial" w:cs="Arial"/>
          <w:sz w:val="20"/>
          <w:szCs w:val="20"/>
        </w:rPr>
        <w:t>Se informará sobre:</w:t>
      </w:r>
    </w:p>
    <w:p w14:paraId="6580FA3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200BE91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emitida por el CONAC y las disposiciones legales aplicables.</w:t>
      </w:r>
    </w:p>
    <w:p w14:paraId="03F93042" w14:textId="77777777" w:rsidR="00B57AF7" w:rsidRPr="00FA379D" w:rsidRDefault="00B57AF7" w:rsidP="00B57AF7">
      <w:pPr>
        <w:tabs>
          <w:tab w:val="left" w:leader="underscore" w:pos="9639"/>
        </w:tabs>
        <w:jc w:val="both"/>
        <w:rPr>
          <w:rFonts w:ascii="Arial" w:hAnsi="Arial" w:cs="Arial"/>
          <w:sz w:val="20"/>
          <w:szCs w:val="20"/>
        </w:rPr>
      </w:pPr>
      <w:bookmarkStart w:id="25" w:name="_Hlk125634357"/>
      <w:bookmarkStart w:id="26" w:name="_Hlk14084876"/>
      <w:bookmarkStart w:id="27" w:name="_Hlk30594675"/>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p>
    <w:p w14:paraId="09BD09D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bookmarkStart w:id="28" w:name="_Hlk6143307"/>
    </w:p>
    <w:p w14:paraId="342FBAAD" w14:textId="77777777" w:rsidR="00B57AF7" w:rsidRPr="00FA379D" w:rsidRDefault="00B57AF7" w:rsidP="00B57AF7">
      <w:pPr>
        <w:tabs>
          <w:tab w:val="left" w:leader="underscore" w:pos="9639"/>
        </w:tabs>
        <w:jc w:val="both"/>
        <w:rPr>
          <w:rFonts w:ascii="Arial" w:hAnsi="Arial" w:cs="Arial"/>
          <w:sz w:val="20"/>
          <w:szCs w:val="20"/>
        </w:rPr>
      </w:pPr>
      <w:bookmarkStart w:id="29"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2619477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lastRenderedPageBreak/>
        <w:t>Las Bases de Preparación de los Estados Financieros aplican los Postulados Básicos de Registro Contable, el devengo del ingreso, entre otros, aún se encuentra en fase de desarrollo de los diferentes rubros de la información financiera.</w:t>
      </w:r>
    </w:p>
    <w:p w14:paraId="32D7075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E41FC3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aplica normatividad supletoria.</w:t>
      </w:r>
    </w:p>
    <w:p w14:paraId="44756867" w14:textId="77777777" w:rsidR="00B57AF7" w:rsidRPr="00FA379D" w:rsidRDefault="00B57AF7" w:rsidP="00B57AF7">
      <w:pPr>
        <w:tabs>
          <w:tab w:val="left" w:leader="underscore" w:pos="9639"/>
        </w:tabs>
        <w:jc w:val="both"/>
        <w:rPr>
          <w:rFonts w:ascii="Arial" w:hAnsi="Arial" w:cs="Arial"/>
          <w:sz w:val="20"/>
          <w:szCs w:val="20"/>
        </w:rPr>
      </w:pPr>
    </w:p>
    <w:p w14:paraId="673307AA" w14:textId="77777777" w:rsidR="00B57AF7" w:rsidRPr="00FA379D" w:rsidRDefault="00B57AF7" w:rsidP="00B57AF7">
      <w:pPr>
        <w:tabs>
          <w:tab w:val="left" w:leader="underscore" w:pos="9639"/>
        </w:tabs>
        <w:jc w:val="both"/>
        <w:rPr>
          <w:rFonts w:ascii="Arial" w:hAnsi="Arial" w:cs="Arial"/>
          <w:sz w:val="20"/>
          <w:szCs w:val="20"/>
        </w:rPr>
      </w:pPr>
    </w:p>
    <w:p w14:paraId="2BB9F33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el base devengado </w:t>
      </w:r>
      <w:proofErr w:type="gramStart"/>
      <w:r w:rsidRPr="00FA379D">
        <w:rPr>
          <w:rFonts w:ascii="Arial" w:hAnsi="Arial" w:cs="Arial"/>
          <w:sz w:val="20"/>
          <w:szCs w:val="20"/>
        </w:rPr>
        <w:t>de acuerdo a</w:t>
      </w:r>
      <w:proofErr w:type="gramEnd"/>
      <w:r w:rsidRPr="00FA379D">
        <w:rPr>
          <w:rFonts w:ascii="Arial" w:hAnsi="Arial" w:cs="Arial"/>
          <w:sz w:val="20"/>
          <w:szCs w:val="20"/>
        </w:rPr>
        <w:t xml:space="preserve"> la Ley de Contabilidad, deberán:</w:t>
      </w:r>
    </w:p>
    <w:p w14:paraId="17B3E1B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*Revelar las nuevas políticas de reconocimiento:</w:t>
      </w:r>
    </w:p>
    <w:p w14:paraId="6AE607EF"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Este instituto ha venido utilizando la base del devengado desde la implementación </w:t>
      </w:r>
      <w:proofErr w:type="gramStart"/>
      <w:r w:rsidRPr="00FA379D">
        <w:rPr>
          <w:rFonts w:ascii="Arial" w:hAnsi="Arial" w:cs="Arial"/>
          <w:sz w:val="20"/>
          <w:szCs w:val="20"/>
        </w:rPr>
        <w:t>del mismo</w:t>
      </w:r>
      <w:proofErr w:type="gramEnd"/>
      <w:r w:rsidRPr="00FA379D">
        <w:rPr>
          <w:rFonts w:ascii="Arial" w:hAnsi="Arial" w:cs="Arial"/>
          <w:sz w:val="20"/>
          <w:szCs w:val="20"/>
        </w:rPr>
        <w:t xml:space="preserve">, por parte de las reglas emitidas por el CONAC y en conjunto con las recomendaciones y modificaciones a los registros contables solicitadas por la </w:t>
      </w:r>
      <w:proofErr w:type="spellStart"/>
      <w:r w:rsidRPr="00FA379D">
        <w:rPr>
          <w:rFonts w:ascii="Arial" w:hAnsi="Arial" w:cs="Arial"/>
          <w:sz w:val="20"/>
          <w:szCs w:val="20"/>
        </w:rPr>
        <w:t>SFIyA</w:t>
      </w:r>
      <w:proofErr w:type="spellEnd"/>
      <w:r w:rsidRPr="00FA379D">
        <w:rPr>
          <w:rFonts w:ascii="Arial" w:hAnsi="Arial" w:cs="Arial"/>
          <w:sz w:val="20"/>
          <w:szCs w:val="20"/>
        </w:rPr>
        <w:t>.</w:t>
      </w:r>
      <w:bookmarkEnd w:id="25"/>
    </w:p>
    <w:p w14:paraId="15CB445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*Plan de implementación:</w:t>
      </w:r>
    </w:p>
    <w:bookmarkEnd w:id="26"/>
    <w:p w14:paraId="3209F328" w14:textId="77777777" w:rsidR="00B57AF7" w:rsidRDefault="00B57AF7" w:rsidP="00B57AF7">
      <w:pPr>
        <w:tabs>
          <w:tab w:val="left" w:leader="underscore" w:pos="9639"/>
        </w:tabs>
        <w:jc w:val="both"/>
        <w:rPr>
          <w:rFonts w:ascii="Arial" w:hAnsi="Arial" w:cs="Arial"/>
          <w:sz w:val="20"/>
          <w:szCs w:val="20"/>
        </w:rPr>
      </w:pPr>
      <w:r w:rsidRPr="00C86CBA">
        <w:rPr>
          <w:rFonts w:ascii="Arial" w:hAnsi="Arial" w:cs="Arial"/>
          <w:sz w:val="20"/>
          <w:szCs w:val="20"/>
        </w:rPr>
        <w:t xml:space="preserve">“Esta nota no le aplica al ente público” </w:t>
      </w:r>
    </w:p>
    <w:p w14:paraId="42C223C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*Revelar los cambios en las políticas, la clasificación y medición de </w:t>
      </w:r>
      <w:proofErr w:type="gramStart"/>
      <w:r w:rsidRPr="00FA379D">
        <w:rPr>
          <w:rFonts w:ascii="Arial" w:hAnsi="Arial" w:cs="Arial"/>
          <w:sz w:val="20"/>
          <w:szCs w:val="20"/>
        </w:rPr>
        <w:t>las mismas</w:t>
      </w:r>
      <w:proofErr w:type="gramEnd"/>
      <w:r w:rsidRPr="00FA379D">
        <w:rPr>
          <w:rFonts w:ascii="Arial" w:hAnsi="Arial" w:cs="Arial"/>
          <w:sz w:val="20"/>
          <w:szCs w:val="20"/>
        </w:rPr>
        <w:t>, así como su impacto en la información financiera:</w:t>
      </w:r>
    </w:p>
    <w:p w14:paraId="2CE3E98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Firmar los EEFF de los ODES solicitados por el CONAC publicados en el DOF y PO.</w:t>
      </w:r>
    </w:p>
    <w:p w14:paraId="3E83B90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los últimos estados financieros con la normatividad anteriormente utilizada con las nuevas políticas para fines de comparación en la transición a la base devengado.</w:t>
      </w:r>
      <w:bookmarkEnd w:id="27"/>
      <w:bookmarkEnd w:id="28"/>
      <w:bookmarkEnd w:id="29"/>
    </w:p>
    <w:p w14:paraId="7025E7E0" w14:textId="4C87F38F" w:rsidR="007D1E76" w:rsidRPr="00E74967" w:rsidRDefault="007F699D" w:rsidP="000C3365">
      <w:pPr>
        <w:pStyle w:val="Ttulo2"/>
        <w:rPr>
          <w:rFonts w:cs="Calibri"/>
          <w:b/>
        </w:rPr>
      </w:pPr>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24"/>
    </w:p>
    <w:p w14:paraId="2923A6E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57C5E7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E44353F" w14:textId="77777777" w:rsidR="0044679A" w:rsidRPr="00FA379D" w:rsidRDefault="0044679A" w:rsidP="0044679A">
      <w:pPr>
        <w:tabs>
          <w:tab w:val="left" w:leader="underscore" w:pos="9639"/>
        </w:tabs>
        <w:jc w:val="both"/>
        <w:rPr>
          <w:rFonts w:ascii="Arial" w:hAnsi="Arial" w:cs="Arial"/>
          <w:sz w:val="20"/>
          <w:szCs w:val="20"/>
        </w:rPr>
      </w:pPr>
      <w:bookmarkStart w:id="30" w:name="_Hlk53540772"/>
      <w:r w:rsidRPr="00FA379D">
        <w:rPr>
          <w:rFonts w:ascii="Arial" w:hAnsi="Arial" w:cs="Arial"/>
          <w:sz w:val="20"/>
          <w:szCs w:val="20"/>
        </w:rPr>
        <w:t>Valor Histórico</w:t>
      </w:r>
    </w:p>
    <w:p w14:paraId="79BB8CEC"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2B1A2E2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266A3251" w14:textId="77777777" w:rsidR="0044679A" w:rsidRPr="00FA379D" w:rsidRDefault="0044679A" w:rsidP="0044679A">
      <w:pPr>
        <w:tabs>
          <w:tab w:val="left" w:leader="underscore" w:pos="9639"/>
        </w:tabs>
        <w:jc w:val="both"/>
        <w:rPr>
          <w:rFonts w:ascii="Arial" w:hAnsi="Arial" w:cs="Arial"/>
          <w:sz w:val="20"/>
          <w:szCs w:val="20"/>
        </w:rPr>
      </w:pPr>
      <w:bookmarkStart w:id="31"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531909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dichas acciones.</w:t>
      </w:r>
    </w:p>
    <w:p w14:paraId="0283813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lastRenderedPageBreak/>
        <w:t>d)</w:t>
      </w:r>
      <w:r w:rsidRPr="00FA379D">
        <w:rPr>
          <w:rFonts w:ascii="Arial" w:hAnsi="Arial" w:cs="Arial"/>
          <w:sz w:val="20"/>
          <w:szCs w:val="20"/>
        </w:rPr>
        <w:t xml:space="preserve"> Sistema y método de valuación de inventarios y costo de lo vendido:</w:t>
      </w:r>
    </w:p>
    <w:p w14:paraId="0A01B71D" w14:textId="77777777" w:rsidR="0044679A" w:rsidRDefault="0044679A" w:rsidP="0044679A">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EDA7E9E"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1F38753E" w14:textId="77777777" w:rsidR="0044679A" w:rsidRDefault="0044679A" w:rsidP="0044679A">
      <w:pPr>
        <w:tabs>
          <w:tab w:val="left" w:leader="underscore" w:pos="9639"/>
        </w:tabs>
        <w:jc w:val="both"/>
        <w:rPr>
          <w:rFonts w:ascii="Arial" w:hAnsi="Arial" w:cs="Arial"/>
          <w:sz w:val="20"/>
          <w:szCs w:val="20"/>
        </w:rPr>
      </w:pPr>
      <w:bookmarkStart w:id="32" w:name="_Hlk85201881"/>
      <w:r w:rsidRPr="00FB26C7">
        <w:rPr>
          <w:rFonts w:ascii="Arial" w:hAnsi="Arial" w:cs="Arial"/>
          <w:sz w:val="20"/>
          <w:szCs w:val="20"/>
        </w:rPr>
        <w:t xml:space="preserve">“Esta nota no le aplica al ente público” </w:t>
      </w:r>
    </w:p>
    <w:p w14:paraId="53F68DD6"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34AC1B11" w14:textId="77777777" w:rsidR="0044679A" w:rsidRPr="004E151F"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provisiones.</w:t>
      </w:r>
    </w:p>
    <w:p w14:paraId="49972A3A" w14:textId="77777777" w:rsidR="0044679A" w:rsidRPr="00FA379D" w:rsidRDefault="0044679A" w:rsidP="0044679A">
      <w:pPr>
        <w:tabs>
          <w:tab w:val="left" w:leader="underscore" w:pos="9639"/>
        </w:tabs>
        <w:jc w:val="both"/>
        <w:rPr>
          <w:rFonts w:ascii="Arial" w:hAnsi="Arial" w:cs="Arial"/>
          <w:sz w:val="20"/>
          <w:szCs w:val="20"/>
        </w:rPr>
      </w:pPr>
      <w:bookmarkStart w:id="33" w:name="_Hlk14084939"/>
      <w:r w:rsidRPr="00FA379D">
        <w:rPr>
          <w:rFonts w:ascii="Arial" w:hAnsi="Arial" w:cs="Arial"/>
          <w:b/>
          <w:sz w:val="20"/>
          <w:szCs w:val="20"/>
        </w:rPr>
        <w:t>g)</w:t>
      </w:r>
      <w:r w:rsidRPr="00FA379D">
        <w:rPr>
          <w:rFonts w:ascii="Arial" w:hAnsi="Arial" w:cs="Arial"/>
          <w:sz w:val="20"/>
          <w:szCs w:val="20"/>
        </w:rPr>
        <w:t xml:space="preserve"> Reservas: objetivo de su creación, monto y plazo:</w:t>
      </w:r>
    </w:p>
    <w:p w14:paraId="473BBEBF" w14:textId="77777777" w:rsidR="0044679A" w:rsidRPr="00FA379D" w:rsidRDefault="0044679A" w:rsidP="0044679A">
      <w:pPr>
        <w:tabs>
          <w:tab w:val="left" w:leader="underscore" w:pos="9639"/>
        </w:tabs>
        <w:jc w:val="both"/>
        <w:rPr>
          <w:rFonts w:ascii="Arial" w:hAnsi="Arial" w:cs="Arial"/>
          <w:sz w:val="20"/>
          <w:szCs w:val="20"/>
        </w:rPr>
      </w:pPr>
    </w:p>
    <w:p w14:paraId="5A1190C2" w14:textId="77777777" w:rsidR="0044679A" w:rsidRPr="004E151F" w:rsidRDefault="0044679A" w:rsidP="0044679A">
      <w:pPr>
        <w:tabs>
          <w:tab w:val="left" w:leader="underscore" w:pos="9639"/>
        </w:tabs>
        <w:jc w:val="both"/>
        <w:rPr>
          <w:rFonts w:ascii="Arial" w:hAnsi="Arial" w:cs="Arial"/>
          <w:b/>
          <w:sz w:val="20"/>
          <w:szCs w:val="20"/>
        </w:rPr>
      </w:pPr>
      <w:r w:rsidRPr="00FA379D">
        <w:rPr>
          <w:rFonts w:ascii="Arial" w:hAnsi="Arial" w:cs="Arial"/>
          <w:sz w:val="20"/>
          <w:szCs w:val="20"/>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bookmarkEnd w:id="30"/>
    </w:p>
    <w:p w14:paraId="6EEB477A" w14:textId="77777777" w:rsidR="0044679A" w:rsidRPr="00FA379D" w:rsidRDefault="0044679A" w:rsidP="0044679A">
      <w:pPr>
        <w:tabs>
          <w:tab w:val="left" w:leader="underscore" w:pos="9639"/>
        </w:tabs>
        <w:jc w:val="both"/>
        <w:rPr>
          <w:rFonts w:ascii="Arial" w:hAnsi="Arial" w:cs="Arial"/>
          <w:sz w:val="20"/>
          <w:szCs w:val="20"/>
        </w:rPr>
      </w:pPr>
      <w:bookmarkStart w:id="34" w:name="_Hlk22045389"/>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3220DD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C795741"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bookmarkEnd w:id="31"/>
    <w:p w14:paraId="36153F4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registros contables por cargo en cuentas de gasto no correspondidas, o por registros de pago en cuentas de banco no correspondidas.</w:t>
      </w:r>
      <w:bookmarkEnd w:id="32"/>
    </w:p>
    <w:p w14:paraId="6828E7B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cuentas de bancos.</w:t>
      </w:r>
    </w:p>
    <w:p w14:paraId="044D894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2D976A8A"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 xml:space="preserve">Actualmente este Instituto en conjunto con la Dirección de Recursos de la </w:t>
      </w:r>
      <w:proofErr w:type="gramStart"/>
      <w:r w:rsidRPr="00FA379D">
        <w:rPr>
          <w:rFonts w:ascii="Arial" w:hAnsi="Arial" w:cs="Arial"/>
          <w:sz w:val="20"/>
          <w:szCs w:val="20"/>
        </w:rPr>
        <w:t>Secretaria</w:t>
      </w:r>
      <w:proofErr w:type="gramEnd"/>
      <w:r w:rsidRPr="00FA379D">
        <w:rPr>
          <w:rFonts w:ascii="Arial" w:hAnsi="Arial" w:cs="Arial"/>
          <w:sz w:val="20"/>
          <w:szCs w:val="20"/>
        </w:rPr>
        <w:t xml:space="preserve">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End w:id="33"/>
      <w:bookmarkEnd w:id="34"/>
      <w:r w:rsidRPr="00FA379D">
        <w:rPr>
          <w:rFonts w:ascii="Arial" w:hAnsi="Arial" w:cs="Arial"/>
          <w:sz w:val="20"/>
          <w:szCs w:val="20"/>
        </w:rPr>
        <w:t>.</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3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35"/>
    </w:p>
    <w:p w14:paraId="60114D16" w14:textId="77777777" w:rsidR="007D1E76" w:rsidRPr="00E74967" w:rsidRDefault="007D1E76" w:rsidP="00CB41C4">
      <w:pPr>
        <w:tabs>
          <w:tab w:val="left" w:leader="underscore" w:pos="9639"/>
        </w:tabs>
        <w:spacing w:after="0" w:line="240" w:lineRule="auto"/>
        <w:jc w:val="both"/>
        <w:rPr>
          <w:rFonts w:cs="Calibri"/>
        </w:rPr>
      </w:pPr>
    </w:p>
    <w:p w14:paraId="313FEF4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7CCB03D4"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Activos en moneda extranjera:</w:t>
      </w:r>
    </w:p>
    <w:p w14:paraId="135ECD1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lastRenderedPageBreak/>
        <w:t>Este Instituto de Infraestructura Física Educativa de Guanajuato no cuenta con activos en moneda extranjera.</w:t>
      </w:r>
    </w:p>
    <w:p w14:paraId="36EE7C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Pasivos en moneda extranjera:</w:t>
      </w:r>
    </w:p>
    <w:p w14:paraId="76201ECC"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pasivos en moneda extranjera.</w:t>
      </w:r>
    </w:p>
    <w:p w14:paraId="494A69A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c) </w:t>
      </w:r>
      <w:r w:rsidRPr="00FA379D">
        <w:rPr>
          <w:rFonts w:ascii="Arial" w:hAnsi="Arial" w:cs="Arial"/>
          <w:sz w:val="20"/>
          <w:szCs w:val="20"/>
        </w:rPr>
        <w:t>Posición en moneda extranjera:</w:t>
      </w:r>
    </w:p>
    <w:p w14:paraId="46C30028" w14:textId="77777777" w:rsidR="00F30FC5" w:rsidRPr="00FA379D" w:rsidRDefault="00F30FC5" w:rsidP="00F30FC5">
      <w:pPr>
        <w:tabs>
          <w:tab w:val="left" w:leader="underscore" w:pos="9639"/>
        </w:tabs>
        <w:jc w:val="both"/>
        <w:rPr>
          <w:rFonts w:ascii="Arial" w:hAnsi="Arial" w:cs="Arial"/>
          <w:b/>
          <w:sz w:val="20"/>
          <w:szCs w:val="20"/>
        </w:rPr>
      </w:pPr>
      <w:r w:rsidRPr="00FA379D">
        <w:rPr>
          <w:rFonts w:ascii="Arial" w:hAnsi="Arial" w:cs="Arial"/>
          <w:sz w:val="20"/>
          <w:szCs w:val="20"/>
        </w:rPr>
        <w:t>Este Instituto de Infraestructura Física Educativa de Guanajuato no cuenta con posición en moneda extranjera.</w:t>
      </w:r>
    </w:p>
    <w:p w14:paraId="41E9E0FD"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Tipo de cambio:</w:t>
      </w:r>
    </w:p>
    <w:p w14:paraId="4469175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EB023E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Equivalente en moneda nacional:</w:t>
      </w:r>
    </w:p>
    <w:p w14:paraId="165DB4C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23ECECB1" w14:textId="77777777" w:rsidR="00F30FC5" w:rsidRPr="00FA379D" w:rsidRDefault="00F30FC5" w:rsidP="00F30FC5">
      <w:pPr>
        <w:tabs>
          <w:tab w:val="left" w:leader="underscore" w:pos="9639"/>
        </w:tabs>
        <w:jc w:val="both"/>
        <w:rPr>
          <w:rFonts w:ascii="Arial" w:hAnsi="Arial" w:cs="Arial"/>
          <w:sz w:val="20"/>
          <w:szCs w:val="20"/>
        </w:rPr>
      </w:pPr>
    </w:p>
    <w:p w14:paraId="5341173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p w14:paraId="0323AB4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informará sobre los métodos de protección de riesgo por variaciones en el tipo de cambio.</w:t>
      </w:r>
    </w:p>
    <w:p w14:paraId="0A6EEC5C" w14:textId="77777777" w:rsidR="00F30FC5" w:rsidRPr="00E74967" w:rsidRDefault="00F30FC5" w:rsidP="00F30FC5">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3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36"/>
    </w:p>
    <w:p w14:paraId="1C9AE80E" w14:textId="77777777" w:rsidR="007D1E76" w:rsidRPr="00E74967" w:rsidRDefault="007D1E76" w:rsidP="00CB41C4">
      <w:pPr>
        <w:tabs>
          <w:tab w:val="left" w:leader="underscore" w:pos="9639"/>
        </w:tabs>
        <w:spacing w:after="0" w:line="240" w:lineRule="auto"/>
        <w:jc w:val="both"/>
        <w:rPr>
          <w:rFonts w:cs="Calibri"/>
        </w:rPr>
      </w:pPr>
    </w:p>
    <w:p w14:paraId="1C3EAB9F"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Debe mostrar la siguiente información:</w:t>
      </w:r>
    </w:p>
    <w:p w14:paraId="2B4AA1D1"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692EAB7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Con forme a los porcentajes publicados en la Ley del Impuesto Sobre la Renta.</w:t>
      </w:r>
    </w:p>
    <w:p w14:paraId="3E74B43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p w14:paraId="1E32A6D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 conformidad con la norma de CONAC y los alcances del SIHP, actualmente sólo pueden considerarse las 40 clases de activos vigentes.</w:t>
      </w:r>
    </w:p>
    <w:p w14:paraId="1836EEBB"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0E713C0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9178B1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Riesgos por tipo de cambio o tipo de interés de las inversiones financieras:</w:t>
      </w:r>
    </w:p>
    <w:p w14:paraId="073FC8F3" w14:textId="77777777" w:rsidR="00F30FC5" w:rsidRDefault="00F30FC5" w:rsidP="00F30FC5">
      <w:pPr>
        <w:tabs>
          <w:tab w:val="left" w:leader="underscore" w:pos="9639"/>
        </w:tabs>
        <w:jc w:val="both"/>
        <w:rPr>
          <w:rFonts w:ascii="Arial" w:hAnsi="Arial" w:cs="Arial"/>
          <w:sz w:val="20"/>
          <w:szCs w:val="20"/>
        </w:rPr>
      </w:pPr>
      <w:bookmarkStart w:id="37" w:name="_Hlk14085043"/>
      <w:r w:rsidRPr="00FB26C7">
        <w:rPr>
          <w:rFonts w:ascii="Arial" w:hAnsi="Arial" w:cs="Arial"/>
          <w:sz w:val="20"/>
          <w:szCs w:val="20"/>
        </w:rPr>
        <w:t xml:space="preserve">“Esta nota no le aplica al ente público” </w:t>
      </w:r>
    </w:p>
    <w:p w14:paraId="350CD2B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47FC9869" w14:textId="77777777" w:rsidR="00F30FC5" w:rsidRDefault="00F30FC5" w:rsidP="00F30FC5">
      <w:pPr>
        <w:tabs>
          <w:tab w:val="left" w:leader="underscore" w:pos="9639"/>
        </w:tabs>
        <w:jc w:val="both"/>
        <w:rPr>
          <w:rFonts w:ascii="Arial" w:hAnsi="Arial" w:cs="Arial"/>
          <w:sz w:val="20"/>
          <w:szCs w:val="20"/>
        </w:rPr>
      </w:pPr>
      <w:bookmarkStart w:id="38" w:name="_Hlk85201943"/>
      <w:r w:rsidRPr="00FB26C7">
        <w:rPr>
          <w:rFonts w:ascii="Arial" w:hAnsi="Arial" w:cs="Arial"/>
          <w:sz w:val="20"/>
          <w:szCs w:val="20"/>
        </w:rPr>
        <w:t xml:space="preserve">“Esta nota no le aplica al ente público” </w:t>
      </w:r>
    </w:p>
    <w:p w14:paraId="406FDD7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lastRenderedPageBreak/>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E91137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C8CE139" w14:textId="77777777" w:rsidR="00606C11" w:rsidRDefault="00606C11" w:rsidP="00F30FC5">
      <w:pPr>
        <w:tabs>
          <w:tab w:val="left" w:leader="underscore" w:pos="9639"/>
        </w:tabs>
        <w:jc w:val="both"/>
        <w:rPr>
          <w:rFonts w:ascii="Arial" w:hAnsi="Arial" w:cs="Arial"/>
          <w:sz w:val="20"/>
          <w:szCs w:val="20"/>
        </w:rPr>
      </w:pPr>
    </w:p>
    <w:p w14:paraId="7A08AE92" w14:textId="77777777" w:rsidR="00606C11" w:rsidRDefault="00606C11" w:rsidP="00F30FC5">
      <w:pPr>
        <w:tabs>
          <w:tab w:val="left" w:leader="underscore" w:pos="9639"/>
        </w:tabs>
        <w:jc w:val="both"/>
        <w:rPr>
          <w:rFonts w:ascii="Arial" w:hAnsi="Arial" w:cs="Arial"/>
          <w:sz w:val="20"/>
          <w:szCs w:val="20"/>
        </w:rPr>
      </w:pPr>
    </w:p>
    <w:p w14:paraId="3EA3F31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32B1FB7F"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10A02D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281AD0F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lleva un control sobre los servicios y mantenimiento que requieran para que se prolongue la vida útil de los mismos, ya que este Instituto tiene activos con una antigüedad mayor a 10 años.</w:t>
      </w:r>
    </w:p>
    <w:p w14:paraId="27CE45E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deben incluir las explicaciones de las principales variaciones en el activo, en cuadros comparativos como sigue:</w:t>
      </w:r>
    </w:p>
    <w:p w14:paraId="2F5C8A0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Inversiones en valores:</w:t>
      </w:r>
    </w:p>
    <w:p w14:paraId="0C2829F4"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BDE2F5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15CACAD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1FD4506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2F1E59E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3A6B2FB5" w14:textId="77777777" w:rsidR="00F30FC5" w:rsidRPr="00FA379D" w:rsidRDefault="00F30FC5" w:rsidP="00F30FC5">
      <w:pPr>
        <w:tabs>
          <w:tab w:val="left" w:leader="underscore" w:pos="9639"/>
        </w:tabs>
        <w:jc w:val="both"/>
        <w:rPr>
          <w:rFonts w:ascii="Arial" w:hAnsi="Arial" w:cs="Arial"/>
          <w:sz w:val="20"/>
          <w:szCs w:val="20"/>
        </w:rPr>
      </w:pPr>
    </w:p>
    <w:p w14:paraId="3D120F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78DE905C"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D55226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bookmarkEnd w:id="37"/>
    <w:bookmarkEnd w:id="38"/>
    <w:p w14:paraId="161531AB" w14:textId="77777777" w:rsidR="00F30FC5" w:rsidRDefault="00F30FC5" w:rsidP="00F30FC5">
      <w:pPr>
        <w:tabs>
          <w:tab w:val="left" w:leader="underscore" w:pos="9639"/>
        </w:tabs>
        <w:spacing w:after="0" w:line="240" w:lineRule="auto"/>
        <w:jc w:val="both"/>
        <w:rPr>
          <w:rFonts w:ascii="Arial" w:hAnsi="Arial" w:cs="Arial"/>
          <w:sz w:val="20"/>
          <w:szCs w:val="20"/>
        </w:rPr>
      </w:pPr>
      <w:r w:rsidRPr="00FB26C7">
        <w:rPr>
          <w:rFonts w:ascii="Arial" w:hAnsi="Arial" w:cs="Arial"/>
          <w:sz w:val="20"/>
          <w:szCs w:val="20"/>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39"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39"/>
    </w:p>
    <w:p w14:paraId="5B412C86" w14:textId="77777777" w:rsidR="007D1E76" w:rsidRPr="00E74967" w:rsidRDefault="007D1E76" w:rsidP="00CB41C4">
      <w:pPr>
        <w:tabs>
          <w:tab w:val="left" w:leader="underscore" w:pos="9639"/>
        </w:tabs>
        <w:spacing w:after="0" w:line="240" w:lineRule="auto"/>
        <w:jc w:val="both"/>
        <w:rPr>
          <w:rFonts w:cs="Calibri"/>
        </w:rPr>
      </w:pPr>
    </w:p>
    <w:p w14:paraId="7395F104" w14:textId="3701666C" w:rsidR="00F30FC5" w:rsidRPr="00E74967" w:rsidRDefault="00F30FC5" w:rsidP="008539F8">
      <w:pPr>
        <w:tabs>
          <w:tab w:val="left" w:leader="underscore" w:pos="9639"/>
        </w:tabs>
        <w:jc w:val="both"/>
        <w:rPr>
          <w:rFonts w:cs="Calibri"/>
        </w:rPr>
      </w:pPr>
      <w:bookmarkStart w:id="40" w:name="_Toc161472874"/>
      <w:r w:rsidRPr="008539F8">
        <w:rPr>
          <w:rFonts w:ascii="Arial" w:hAnsi="Arial" w:cs="Arial"/>
          <w:sz w:val="20"/>
          <w:szCs w:val="20"/>
        </w:rPr>
        <w:t>Se deberá informar:</w:t>
      </w:r>
    </w:p>
    <w:p w14:paraId="5A4C1280" w14:textId="77777777" w:rsidR="00F30FC5"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6E8FA5" w14:textId="77777777" w:rsidR="00F30FC5" w:rsidRDefault="00F30FC5" w:rsidP="00F30FC5">
      <w:pPr>
        <w:tabs>
          <w:tab w:val="left" w:leader="underscore" w:pos="9639"/>
        </w:tabs>
        <w:spacing w:after="0" w:line="240" w:lineRule="auto"/>
        <w:jc w:val="both"/>
        <w:rPr>
          <w:rFonts w:cs="Calibri"/>
        </w:rPr>
      </w:pPr>
    </w:p>
    <w:p w14:paraId="338969EF" w14:textId="77777777" w:rsidR="00F30FC5" w:rsidRDefault="00F30FC5" w:rsidP="00F30FC5">
      <w:pPr>
        <w:tabs>
          <w:tab w:val="left" w:leader="underscore" w:pos="9639"/>
        </w:tabs>
        <w:spacing w:after="0" w:line="240" w:lineRule="auto"/>
        <w:jc w:val="both"/>
        <w:rPr>
          <w:rFonts w:cs="Calibri"/>
        </w:rPr>
      </w:pPr>
      <w:r w:rsidRPr="00FB26C7">
        <w:rPr>
          <w:rFonts w:cs="Calibri"/>
        </w:rPr>
        <w:t>“</w:t>
      </w:r>
      <w:r w:rsidRPr="008539F8">
        <w:rPr>
          <w:rFonts w:ascii="Arial" w:hAnsi="Arial" w:cs="Arial"/>
          <w:sz w:val="20"/>
          <w:szCs w:val="20"/>
        </w:rPr>
        <w:t>Esta nota no le aplica al ente público”</w:t>
      </w:r>
      <w:r w:rsidRPr="00FB26C7">
        <w:rPr>
          <w:rFonts w:cs="Calibri"/>
        </w:rPr>
        <w:t xml:space="preserve"> </w:t>
      </w:r>
    </w:p>
    <w:p w14:paraId="39B1CA1F" w14:textId="77777777" w:rsidR="00F30FC5" w:rsidRPr="00E74967" w:rsidRDefault="00F30FC5" w:rsidP="00F30FC5">
      <w:pPr>
        <w:tabs>
          <w:tab w:val="left" w:leader="underscore" w:pos="9639"/>
        </w:tabs>
        <w:spacing w:after="0" w:line="240" w:lineRule="auto"/>
        <w:jc w:val="both"/>
        <w:rPr>
          <w:rFonts w:cs="Calibri"/>
        </w:rPr>
      </w:pPr>
      <w:r>
        <w:rPr>
          <w:rFonts w:cs="Calibri"/>
        </w:rPr>
        <w:t xml:space="preserve"> </w:t>
      </w:r>
    </w:p>
    <w:p w14:paraId="74A3C7FF" w14:textId="77777777" w:rsidR="00F30FC5" w:rsidRDefault="00F30FC5" w:rsidP="00F30FC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4A3C7F71" w14:textId="77777777" w:rsidR="00F30FC5" w:rsidRDefault="00F30FC5" w:rsidP="00F30FC5">
      <w:pPr>
        <w:tabs>
          <w:tab w:val="left" w:leader="underscore" w:pos="9639"/>
        </w:tabs>
        <w:spacing w:after="0" w:line="240" w:lineRule="auto"/>
        <w:jc w:val="both"/>
        <w:rPr>
          <w:rFonts w:cs="Calibri"/>
        </w:rPr>
      </w:pPr>
    </w:p>
    <w:p w14:paraId="642652BC" w14:textId="77777777" w:rsidR="00BB415A" w:rsidRDefault="00BB415A" w:rsidP="00BB415A">
      <w:pPr>
        <w:tabs>
          <w:tab w:val="left" w:leader="underscore" w:pos="9639"/>
        </w:tabs>
        <w:spacing w:after="0" w:line="240" w:lineRule="auto"/>
        <w:jc w:val="both"/>
        <w:rPr>
          <w:rFonts w:cs="Calibri"/>
        </w:rPr>
      </w:pPr>
      <w:r w:rsidRPr="00FB26C7">
        <w:rPr>
          <w:rFonts w:cs="Calibri"/>
        </w:rPr>
        <w:t>“</w:t>
      </w:r>
      <w:r w:rsidRPr="008539F8">
        <w:rPr>
          <w:rFonts w:ascii="Arial" w:hAnsi="Arial" w:cs="Arial"/>
          <w:sz w:val="20"/>
          <w:szCs w:val="20"/>
        </w:rPr>
        <w:t>Esta nota no le aplica al ente público”</w:t>
      </w:r>
      <w:r w:rsidRPr="00FB26C7">
        <w:rPr>
          <w:rFonts w:cs="Calibri"/>
        </w:rPr>
        <w:t xml:space="preserve"> </w:t>
      </w:r>
    </w:p>
    <w:p w14:paraId="2D40F155" w14:textId="77777777" w:rsidR="00BB415A" w:rsidRPr="00E74967" w:rsidRDefault="00BB415A" w:rsidP="00BB415A">
      <w:pPr>
        <w:tabs>
          <w:tab w:val="left" w:leader="underscore" w:pos="9639"/>
        </w:tabs>
        <w:spacing w:after="0" w:line="240" w:lineRule="auto"/>
        <w:jc w:val="both"/>
        <w:rPr>
          <w:rFonts w:cs="Calibri"/>
        </w:rPr>
      </w:pPr>
      <w:r>
        <w:rPr>
          <w:rFonts w:cs="Calibri"/>
        </w:rPr>
        <w:t xml:space="preserve"> </w:t>
      </w:r>
    </w:p>
    <w:p w14:paraId="4D56AACF" w14:textId="77777777" w:rsidR="00606C11" w:rsidRDefault="00606C11" w:rsidP="00F30FC5">
      <w:pPr>
        <w:tabs>
          <w:tab w:val="left" w:leader="underscore" w:pos="9639"/>
        </w:tabs>
        <w:spacing w:after="0" w:line="240" w:lineRule="auto"/>
        <w:jc w:val="both"/>
        <w:rPr>
          <w:rFonts w:cs="Calibri"/>
        </w:rPr>
      </w:pPr>
    </w:p>
    <w:p w14:paraId="060AC0CD" w14:textId="77777777" w:rsidR="00606C11" w:rsidRDefault="00606C11" w:rsidP="00F30FC5">
      <w:pPr>
        <w:tabs>
          <w:tab w:val="left" w:leader="underscore" w:pos="9639"/>
        </w:tabs>
        <w:spacing w:after="0" w:line="240" w:lineRule="auto"/>
        <w:jc w:val="both"/>
        <w:rPr>
          <w:rFonts w:cs="Calibri"/>
        </w:rPr>
      </w:pPr>
    </w:p>
    <w:p w14:paraId="5C0C63CC" w14:textId="77777777" w:rsidR="00606C11" w:rsidRDefault="00606C11" w:rsidP="00F30FC5">
      <w:pPr>
        <w:tabs>
          <w:tab w:val="left" w:leader="underscore" w:pos="9639"/>
        </w:tabs>
        <w:spacing w:after="0" w:line="240" w:lineRule="auto"/>
        <w:jc w:val="both"/>
        <w:rPr>
          <w:rFonts w:cs="Calibri"/>
        </w:rPr>
      </w:pPr>
    </w:p>
    <w:p w14:paraId="380803A4" w14:textId="77777777" w:rsidR="00606C11" w:rsidRDefault="00606C11" w:rsidP="00F30FC5">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40"/>
    </w:p>
    <w:p w14:paraId="2B90D2EC" w14:textId="77777777" w:rsidR="007D1E76" w:rsidRPr="00E74967" w:rsidRDefault="007D1E76" w:rsidP="00CB41C4">
      <w:pPr>
        <w:tabs>
          <w:tab w:val="left" w:leader="underscore" w:pos="9639"/>
        </w:tabs>
        <w:spacing w:after="0" w:line="240" w:lineRule="auto"/>
        <w:jc w:val="both"/>
        <w:rPr>
          <w:rFonts w:cs="Calibri"/>
        </w:rPr>
      </w:pPr>
    </w:p>
    <w:p w14:paraId="44A431C5" w14:textId="77777777" w:rsidR="00F30FC5"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A163C37" w14:textId="000F7573"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 El Instituto De Infraestructura Física Educativa de Guanajuato no cuenta con proyectos de recaudación en el ejercicio 202</w:t>
      </w:r>
      <w:r w:rsidR="00BB415A">
        <w:rPr>
          <w:rFonts w:ascii="Arial" w:hAnsi="Arial" w:cs="Arial"/>
          <w:sz w:val="20"/>
          <w:szCs w:val="20"/>
        </w:rPr>
        <w:t>5</w:t>
      </w:r>
      <w:r>
        <w:rPr>
          <w:rFonts w:ascii="Arial" w:hAnsi="Arial" w:cs="Arial"/>
          <w:sz w:val="20"/>
          <w:szCs w:val="20"/>
        </w:rPr>
        <w:t xml:space="preserve">,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210E8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0DA77977" w14:textId="24C97840"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El Instituto De Infraestructura Física Educativa de Guanajuato no cuenta con proyectos de recaudación en el ejercicio 202</w:t>
      </w:r>
      <w:r w:rsidR="00BB415A">
        <w:rPr>
          <w:rFonts w:ascii="Arial" w:hAnsi="Arial" w:cs="Arial"/>
          <w:sz w:val="20"/>
          <w:szCs w:val="20"/>
        </w:rPr>
        <w:t>5</w:t>
      </w:r>
      <w:r>
        <w:rPr>
          <w:rFonts w:ascii="Arial" w:hAnsi="Arial" w:cs="Arial"/>
          <w:sz w:val="20"/>
          <w:szCs w:val="20"/>
        </w:rPr>
        <w:t xml:space="preserve">,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4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41"/>
    </w:p>
    <w:p w14:paraId="27337031" w14:textId="77777777" w:rsidR="007D1E76" w:rsidRPr="00E74967" w:rsidRDefault="007D1E76" w:rsidP="00CB41C4">
      <w:pPr>
        <w:tabs>
          <w:tab w:val="left" w:leader="underscore" w:pos="9639"/>
        </w:tabs>
        <w:spacing w:after="0" w:line="240" w:lineRule="auto"/>
        <w:jc w:val="both"/>
        <w:rPr>
          <w:rFonts w:cs="Calibri"/>
        </w:rPr>
      </w:pPr>
    </w:p>
    <w:p w14:paraId="23F44BCD"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E0CBF54" w14:textId="77777777" w:rsidR="00F30FC5" w:rsidRDefault="00F30FC5" w:rsidP="00F30FC5">
      <w:pPr>
        <w:tabs>
          <w:tab w:val="left" w:leader="underscore" w:pos="9639"/>
        </w:tabs>
        <w:spacing w:after="0" w:line="240" w:lineRule="auto"/>
        <w:jc w:val="both"/>
        <w:rPr>
          <w:rFonts w:cs="Calibri"/>
        </w:rPr>
      </w:pPr>
    </w:p>
    <w:p w14:paraId="7A14DAC5"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0D19AF15" w14:textId="77777777" w:rsidR="00F30FC5" w:rsidRPr="00E74967" w:rsidRDefault="00F30FC5" w:rsidP="00F30FC5">
      <w:pPr>
        <w:tabs>
          <w:tab w:val="left" w:leader="underscore" w:pos="9639"/>
        </w:tabs>
        <w:spacing w:after="0" w:line="240" w:lineRule="auto"/>
        <w:jc w:val="both"/>
        <w:rPr>
          <w:rFonts w:cs="Calibri"/>
        </w:rPr>
      </w:pPr>
    </w:p>
    <w:p w14:paraId="2D5E6151"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8C82C1B" w14:textId="77777777" w:rsidR="00F30FC5" w:rsidRPr="00E74967" w:rsidRDefault="00F30FC5" w:rsidP="00F30FC5">
      <w:pPr>
        <w:tabs>
          <w:tab w:val="left" w:leader="underscore" w:pos="9639"/>
        </w:tabs>
        <w:spacing w:after="0" w:line="240" w:lineRule="auto"/>
        <w:jc w:val="both"/>
        <w:rPr>
          <w:rFonts w:cs="Calibri"/>
        </w:rPr>
      </w:pPr>
      <w:r w:rsidRPr="00E74967">
        <w:rPr>
          <w:rFonts w:cs="Calibri"/>
        </w:rPr>
        <w:t>* Se anexará la información en las notas de desglose.</w:t>
      </w:r>
    </w:p>
    <w:p w14:paraId="5250CCD1" w14:textId="77777777" w:rsidR="00F30FC5" w:rsidRPr="00E74967" w:rsidRDefault="00F30FC5" w:rsidP="00F30FC5">
      <w:pPr>
        <w:tabs>
          <w:tab w:val="left" w:leader="underscore" w:pos="9639"/>
        </w:tabs>
        <w:spacing w:after="0" w:line="240" w:lineRule="auto"/>
        <w:jc w:val="both"/>
        <w:rPr>
          <w:rFonts w:cs="Calibri"/>
        </w:rPr>
      </w:pPr>
    </w:p>
    <w:p w14:paraId="00CE52EF"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4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42"/>
    </w:p>
    <w:p w14:paraId="67197CE9" w14:textId="77777777" w:rsidR="007D1E76" w:rsidRPr="00E74967" w:rsidRDefault="007D1E76" w:rsidP="00CB41C4">
      <w:pPr>
        <w:tabs>
          <w:tab w:val="left" w:leader="underscore" w:pos="9639"/>
        </w:tabs>
        <w:spacing w:after="0" w:line="240" w:lineRule="auto"/>
        <w:jc w:val="both"/>
        <w:rPr>
          <w:rFonts w:cs="Calibri"/>
        </w:rPr>
      </w:pPr>
    </w:p>
    <w:p w14:paraId="456E4D60" w14:textId="77777777" w:rsidR="00F30FC5" w:rsidRDefault="00F30FC5" w:rsidP="00F30FC5">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39B33C4" w14:textId="77777777" w:rsidR="00F30FC5" w:rsidRPr="00E74967" w:rsidRDefault="00F30FC5" w:rsidP="00F30FC5">
      <w:pPr>
        <w:tabs>
          <w:tab w:val="left" w:leader="underscore" w:pos="9639"/>
        </w:tabs>
        <w:spacing w:after="0" w:line="240" w:lineRule="auto"/>
        <w:jc w:val="both"/>
        <w:rPr>
          <w:rFonts w:cs="Calibri"/>
        </w:rPr>
      </w:pPr>
    </w:p>
    <w:p w14:paraId="641DC283" w14:textId="77777777" w:rsidR="00F30FC5" w:rsidRPr="00E74967"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4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43"/>
    </w:p>
    <w:p w14:paraId="0251CC47" w14:textId="77777777" w:rsidR="007D1E76" w:rsidRPr="00E74967" w:rsidRDefault="007D1E76" w:rsidP="00CB41C4">
      <w:pPr>
        <w:tabs>
          <w:tab w:val="left" w:leader="underscore" w:pos="9639"/>
        </w:tabs>
        <w:spacing w:after="0" w:line="240" w:lineRule="auto"/>
        <w:jc w:val="both"/>
        <w:rPr>
          <w:rFonts w:cs="Calibri"/>
        </w:rPr>
      </w:pPr>
    </w:p>
    <w:p w14:paraId="613B2F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de:</w:t>
      </w:r>
    </w:p>
    <w:p w14:paraId="368D36E6"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627FEAD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Disposiciones administrativas emitidas por la Secretaría de Finanzas y Administración para el año vigente, así como la normativa aplicable en materia del ingreso y gasto.</w:t>
      </w:r>
    </w:p>
    <w:p w14:paraId="60606F4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6E98D8D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w:t>
      </w:r>
    </w:p>
    <w:p w14:paraId="78C3B433"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Aunado a lo anterior se trabaja mediante el sistema de evaluación al desempeño, donde se monitorea por parte de la Secretaría de Finanzas Inversión y Administración el avance de las metas.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4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4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bookmarkStart w:id="45" w:name="_Hlk172110533"/>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bookmarkEnd w:id="45"/>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4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46"/>
    </w:p>
    <w:p w14:paraId="3D96A9B1" w14:textId="77777777" w:rsidR="00D2649E" w:rsidRDefault="00D2649E" w:rsidP="00D2649E">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7B8DA052" w14:textId="77777777" w:rsidR="00D2649E" w:rsidRDefault="00D2649E" w:rsidP="00D2649E">
      <w:pPr>
        <w:tabs>
          <w:tab w:val="left" w:leader="underscore" w:pos="9639"/>
        </w:tabs>
        <w:spacing w:after="0" w:line="240" w:lineRule="auto"/>
        <w:jc w:val="both"/>
        <w:rPr>
          <w:rFonts w:cs="Calibri"/>
        </w:rPr>
      </w:pPr>
    </w:p>
    <w:p w14:paraId="034C52EB" w14:textId="6FB346C0" w:rsidR="00D2649E" w:rsidRDefault="00D2649E" w:rsidP="00D2649E">
      <w:pPr>
        <w:tabs>
          <w:tab w:val="left" w:leader="underscore" w:pos="9639"/>
        </w:tabs>
        <w:jc w:val="both"/>
        <w:rPr>
          <w:rFonts w:ascii="Arial" w:hAnsi="Arial" w:cs="Arial"/>
          <w:sz w:val="20"/>
          <w:szCs w:val="20"/>
        </w:rPr>
      </w:pPr>
      <w:r>
        <w:rPr>
          <w:rFonts w:ascii="Arial" w:hAnsi="Arial" w:cs="Arial"/>
          <w:sz w:val="20"/>
          <w:szCs w:val="20"/>
        </w:rPr>
        <w:t>No existen eventos posteriores al cierre al 3</w:t>
      </w:r>
      <w:r w:rsidR="009A1AA8">
        <w:rPr>
          <w:rFonts w:ascii="Arial" w:hAnsi="Arial" w:cs="Arial"/>
          <w:sz w:val="20"/>
          <w:szCs w:val="20"/>
        </w:rPr>
        <w:t>1</w:t>
      </w:r>
      <w:r>
        <w:rPr>
          <w:rFonts w:ascii="Arial" w:hAnsi="Arial" w:cs="Arial"/>
          <w:sz w:val="20"/>
          <w:szCs w:val="20"/>
        </w:rPr>
        <w:t xml:space="preserve"> de</w:t>
      </w:r>
      <w:r w:rsidR="00817048">
        <w:rPr>
          <w:rFonts w:ascii="Arial" w:hAnsi="Arial" w:cs="Arial"/>
          <w:sz w:val="20"/>
          <w:szCs w:val="20"/>
        </w:rPr>
        <w:t xml:space="preserve"> </w:t>
      </w:r>
      <w:proofErr w:type="gramStart"/>
      <w:r w:rsidR="008539F8">
        <w:rPr>
          <w:rFonts w:ascii="Arial" w:hAnsi="Arial" w:cs="Arial"/>
          <w:sz w:val="20"/>
          <w:szCs w:val="20"/>
        </w:rPr>
        <w:t>Marzo</w:t>
      </w:r>
      <w:proofErr w:type="gramEnd"/>
      <w:r>
        <w:rPr>
          <w:rFonts w:ascii="Arial" w:hAnsi="Arial" w:cs="Arial"/>
          <w:sz w:val="20"/>
          <w:szCs w:val="20"/>
        </w:rPr>
        <w:t xml:space="preserve"> de 202</w:t>
      </w:r>
      <w:r w:rsidR="008539F8">
        <w:rPr>
          <w:rFonts w:ascii="Arial" w:hAnsi="Arial" w:cs="Arial"/>
          <w:sz w:val="20"/>
          <w:szCs w:val="20"/>
        </w:rPr>
        <w:t>5</w:t>
      </w:r>
      <w:r>
        <w:rPr>
          <w:rFonts w:ascii="Arial" w:hAnsi="Arial" w:cs="Arial"/>
          <w:sz w:val="20"/>
          <w:szCs w:val="20"/>
        </w:rPr>
        <w:t>.</w:t>
      </w:r>
    </w:p>
    <w:p w14:paraId="55D08D4D" w14:textId="77777777" w:rsidR="007D1E76" w:rsidRDefault="007D1E76" w:rsidP="00CB41C4">
      <w:pPr>
        <w:tabs>
          <w:tab w:val="left" w:leader="underscore" w:pos="9639"/>
        </w:tabs>
        <w:spacing w:after="0" w:line="240" w:lineRule="auto"/>
        <w:jc w:val="both"/>
        <w:rPr>
          <w:rFonts w:cs="Calibri"/>
        </w:rPr>
      </w:pPr>
    </w:p>
    <w:p w14:paraId="5E3F93AA" w14:textId="77777777" w:rsidR="00D41325" w:rsidRDefault="00D41325" w:rsidP="00CB41C4">
      <w:pPr>
        <w:tabs>
          <w:tab w:val="left" w:leader="underscore" w:pos="9639"/>
        </w:tabs>
        <w:spacing w:after="0" w:line="240" w:lineRule="auto"/>
        <w:jc w:val="both"/>
        <w:rPr>
          <w:rFonts w:cs="Calibri"/>
        </w:rPr>
      </w:pPr>
    </w:p>
    <w:p w14:paraId="44D910FF" w14:textId="77777777" w:rsidR="00D41325" w:rsidRPr="00E74967" w:rsidRDefault="00D41325"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47"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47"/>
    </w:p>
    <w:p w14:paraId="20438A33" w14:textId="77777777" w:rsidR="007D1E76" w:rsidRPr="00E74967" w:rsidRDefault="007D1E76" w:rsidP="00CB41C4">
      <w:pPr>
        <w:tabs>
          <w:tab w:val="left" w:leader="underscore" w:pos="9639"/>
        </w:tabs>
        <w:spacing w:after="0" w:line="240" w:lineRule="auto"/>
        <w:jc w:val="both"/>
        <w:rPr>
          <w:rFonts w:cs="Calibri"/>
        </w:rPr>
      </w:pPr>
    </w:p>
    <w:p w14:paraId="55A9059C" w14:textId="77777777" w:rsidR="00D2649E" w:rsidRPr="00E74967" w:rsidRDefault="00D2649E" w:rsidP="00D2649E">
      <w:pPr>
        <w:tabs>
          <w:tab w:val="left" w:leader="underscore" w:pos="9639"/>
        </w:tabs>
        <w:spacing w:after="0" w:line="240" w:lineRule="auto"/>
        <w:jc w:val="both"/>
        <w:rPr>
          <w:rFonts w:cs="Calibri"/>
        </w:rPr>
      </w:pPr>
      <w:bookmarkStart w:id="48" w:name="_Toc161472881"/>
      <w:r w:rsidRPr="00E74967">
        <w:rPr>
          <w:rFonts w:cs="Calibri"/>
        </w:rPr>
        <w:t>Se debe establecer por escrito que no existen partes relacionadas que pudieran ejercer influencia significativa sobre la toma de decisiones financieras y operativas:</w:t>
      </w:r>
    </w:p>
    <w:p w14:paraId="50491A6C" w14:textId="77777777" w:rsidR="00D2649E" w:rsidRDefault="00D2649E" w:rsidP="00D2649E">
      <w:pPr>
        <w:tabs>
          <w:tab w:val="left" w:leader="underscore" w:pos="9639"/>
        </w:tabs>
        <w:spacing w:after="0" w:line="240" w:lineRule="auto"/>
        <w:jc w:val="both"/>
        <w:rPr>
          <w:rFonts w:cs="Calibri"/>
        </w:rPr>
      </w:pPr>
      <w:r>
        <w:rPr>
          <w:rFonts w:cs="Calibri"/>
        </w:rPr>
        <w:t xml:space="preserve">  </w:t>
      </w:r>
    </w:p>
    <w:p w14:paraId="1F877887" w14:textId="77777777" w:rsidR="00D2649E" w:rsidRDefault="00D2649E" w:rsidP="00D2649E">
      <w:pPr>
        <w:tabs>
          <w:tab w:val="left" w:leader="underscore" w:pos="9639"/>
        </w:tabs>
        <w:spacing w:after="0" w:line="240" w:lineRule="auto"/>
        <w:jc w:val="both"/>
        <w:rPr>
          <w:rFonts w:cs="Calibri"/>
        </w:rPr>
      </w:pPr>
      <w:r w:rsidRPr="00FB26C7">
        <w:rPr>
          <w:rFonts w:cs="Calibri"/>
        </w:rPr>
        <w:t>“Esta nota no le aplica al ente público”</w:t>
      </w:r>
    </w:p>
    <w:p w14:paraId="7449894F" w14:textId="77777777" w:rsidR="00D2649E" w:rsidRDefault="00D2649E" w:rsidP="00D2649E">
      <w:pPr>
        <w:tabs>
          <w:tab w:val="left" w:leader="underscore" w:pos="9639"/>
        </w:tabs>
        <w:spacing w:after="0" w:line="240" w:lineRule="auto"/>
        <w:jc w:val="both"/>
        <w:rPr>
          <w:rFonts w:cs="Calibri"/>
        </w:rPr>
      </w:pPr>
    </w:p>
    <w:p w14:paraId="6DA7AF08" w14:textId="77777777" w:rsidR="00D2649E" w:rsidRDefault="00D2649E" w:rsidP="00D2649E">
      <w:pPr>
        <w:tabs>
          <w:tab w:val="left" w:leader="underscore" w:pos="9639"/>
        </w:tabs>
        <w:spacing w:after="0" w:line="240" w:lineRule="auto"/>
        <w:jc w:val="both"/>
        <w:rPr>
          <w:rFonts w:cs="Calibri"/>
        </w:rPr>
      </w:pPr>
    </w:p>
    <w:p w14:paraId="2B279DF9" w14:textId="77777777" w:rsidR="00D2649E" w:rsidRDefault="00D2649E" w:rsidP="00D2649E">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48"/>
    </w:p>
    <w:p w14:paraId="24905817" w14:textId="77777777" w:rsidR="007D1E76" w:rsidRPr="00E74967" w:rsidRDefault="007D1E76" w:rsidP="00CB41C4">
      <w:pPr>
        <w:tabs>
          <w:tab w:val="left" w:leader="underscore" w:pos="9639"/>
        </w:tabs>
        <w:spacing w:after="0" w:line="240" w:lineRule="auto"/>
        <w:jc w:val="both"/>
        <w:rPr>
          <w:rFonts w:cs="Calibri"/>
        </w:rPr>
      </w:pPr>
    </w:p>
    <w:p w14:paraId="3C9A5C27" w14:textId="77777777" w:rsidR="00D2649E" w:rsidRPr="00E74967" w:rsidRDefault="00D2649E" w:rsidP="00D2649E">
      <w:pPr>
        <w:tabs>
          <w:tab w:val="left" w:leader="underscore" w:pos="9639"/>
        </w:tabs>
        <w:spacing w:after="0" w:line="240" w:lineRule="auto"/>
        <w:jc w:val="both"/>
        <w:rPr>
          <w:rFonts w:cs="Calibri"/>
        </w:rPr>
      </w:pPr>
    </w:p>
    <w:p w14:paraId="08CE11F2" w14:textId="77777777" w:rsidR="00D2649E" w:rsidRDefault="00D2649E" w:rsidP="00D2649E">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64933938"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7F06FE0B"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4A4CF0FE" w14:textId="77777777" w:rsidR="00D2649E" w:rsidRDefault="00D2649E" w:rsidP="00D2649E">
      <w:pPr>
        <w:tabs>
          <w:tab w:val="left" w:leader="underscore" w:pos="9639"/>
        </w:tabs>
        <w:spacing w:after="0" w:line="240" w:lineRule="auto"/>
        <w:jc w:val="both"/>
        <w:rPr>
          <w:rFonts w:asciiTheme="minorHAnsi" w:hAnsiTheme="minorHAnsi" w:cstheme="minorHAnsi"/>
          <w:b/>
          <w:sz w:val="24"/>
          <w:szCs w:val="24"/>
        </w:rPr>
      </w:pPr>
    </w:p>
    <w:p w14:paraId="04C62A00" w14:textId="77777777" w:rsidR="00D2649E" w:rsidRPr="0012405A" w:rsidRDefault="00D2649E" w:rsidP="00D2649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bookmarkStart w:id="49" w:name="_Hlk164765966"/>
      <w:r w:rsidRPr="0012405A">
        <w:rPr>
          <w:rFonts w:asciiTheme="minorHAnsi" w:hAnsiTheme="minorHAnsi" w:cstheme="minorHAnsi"/>
          <w:sz w:val="24"/>
          <w:szCs w:val="24"/>
        </w:rPr>
        <w:t>“</w:t>
      </w:r>
      <w:r w:rsidRPr="00C54C12">
        <w:rPr>
          <w:rFonts w:asciiTheme="minorHAnsi" w:hAnsiTheme="minorHAnsi" w:cstheme="minorHAnsi"/>
          <w:b/>
          <w:bCs/>
          <w:sz w:val="24"/>
          <w:szCs w:val="24"/>
        </w:rPr>
        <w:t xml:space="preserve">Esta nota no le aplica al ente público” </w:t>
      </w:r>
      <w:bookmarkEnd w:id="49"/>
      <w:r w:rsidRPr="00C54C12">
        <w:rPr>
          <w:rFonts w:asciiTheme="minorHAnsi" w:hAnsiTheme="minorHAnsi" w:cstheme="minorHAnsi"/>
          <w:b/>
          <w:bCs/>
          <w:sz w:val="24"/>
          <w:szCs w:val="24"/>
        </w:rPr>
        <w:t>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06-12-2022</w:t>
      </w:r>
    </w:p>
    <w:p w14:paraId="414600CA" w14:textId="77777777" w:rsidR="00D2649E" w:rsidRPr="0012405A" w:rsidRDefault="00D2649E" w:rsidP="00D2649E">
      <w:pPr>
        <w:pBdr>
          <w:bottom w:val="single" w:sz="12" w:space="1" w:color="auto"/>
        </w:pBdr>
        <w:tabs>
          <w:tab w:val="left" w:leader="underscore" w:pos="9639"/>
        </w:tabs>
        <w:spacing w:after="0" w:line="240" w:lineRule="auto"/>
        <w:jc w:val="both"/>
        <w:rPr>
          <w:rFonts w:cs="Calibri"/>
        </w:rPr>
      </w:pPr>
    </w:p>
    <w:p w14:paraId="35992777" w14:textId="77777777" w:rsidR="00D2649E" w:rsidRDefault="00D2649E" w:rsidP="00D2649E">
      <w:pPr>
        <w:tabs>
          <w:tab w:val="left" w:leader="underscore" w:pos="9639"/>
        </w:tabs>
        <w:spacing w:after="0" w:line="240" w:lineRule="auto"/>
        <w:jc w:val="both"/>
        <w:rPr>
          <w:rFonts w:cs="Calibri"/>
        </w:rPr>
      </w:pPr>
    </w:p>
    <w:p w14:paraId="4F8BD127" w14:textId="77777777" w:rsidR="00D2649E" w:rsidRPr="00FA379D" w:rsidRDefault="00D2649E" w:rsidP="00D2649E">
      <w:pPr>
        <w:jc w:val="both"/>
        <w:rPr>
          <w:rFonts w:ascii="Arial" w:hAnsi="Arial" w:cs="Arial"/>
          <w:sz w:val="20"/>
          <w:szCs w:val="20"/>
        </w:rPr>
      </w:pPr>
      <w:r w:rsidRPr="00FA379D">
        <w:rPr>
          <w:rFonts w:ascii="Arial" w:hAnsi="Arial" w:cs="Arial"/>
          <w:sz w:val="20"/>
          <w:szCs w:val="20"/>
        </w:rPr>
        <w:t>Bajo protesta de decir verdad declaramos que los Estados Financieros y sus Notas son razonablemente correctos y responsabilidad del emisor.</w:t>
      </w:r>
    </w:p>
    <w:p w14:paraId="74D16815" w14:textId="77777777" w:rsidR="00D5018E" w:rsidRDefault="00D5018E" w:rsidP="00D2649E">
      <w:pPr>
        <w:tabs>
          <w:tab w:val="left" w:leader="underscore" w:pos="9639"/>
        </w:tabs>
        <w:spacing w:after="0" w:line="240" w:lineRule="auto"/>
        <w:jc w:val="both"/>
        <w:rPr>
          <w:rFonts w:cs="Calibri"/>
        </w:rPr>
      </w:pPr>
    </w:p>
    <w:p w14:paraId="7F77F7B2" w14:textId="77777777" w:rsidR="00D2649E" w:rsidRDefault="00D2649E" w:rsidP="00D2649E">
      <w:pPr>
        <w:tabs>
          <w:tab w:val="left" w:leader="underscore" w:pos="9639"/>
        </w:tabs>
        <w:spacing w:after="0" w:line="240" w:lineRule="auto"/>
        <w:jc w:val="both"/>
        <w:rPr>
          <w:rFonts w:cs="Calibri"/>
        </w:rPr>
      </w:pPr>
    </w:p>
    <w:p w14:paraId="4980BA6E" w14:textId="77777777" w:rsidR="00D2649E" w:rsidRDefault="00D2649E" w:rsidP="00D2649E">
      <w:pPr>
        <w:tabs>
          <w:tab w:val="left" w:leader="underscore" w:pos="9639"/>
        </w:tabs>
        <w:spacing w:after="0" w:line="240" w:lineRule="auto"/>
        <w:jc w:val="both"/>
        <w:rPr>
          <w:rFonts w:cs="Calibri"/>
        </w:rPr>
      </w:pPr>
    </w:p>
    <w:p w14:paraId="55510F95" w14:textId="77777777" w:rsidR="00D2649E" w:rsidRDefault="00D2649E" w:rsidP="00D2649E">
      <w:pPr>
        <w:tabs>
          <w:tab w:val="left" w:leader="underscore" w:pos="9639"/>
        </w:tabs>
        <w:spacing w:after="0" w:line="240" w:lineRule="auto"/>
        <w:jc w:val="both"/>
        <w:rPr>
          <w:rFonts w:cs="Calibri"/>
        </w:rPr>
      </w:pPr>
    </w:p>
    <w:p w14:paraId="377E6353" w14:textId="77777777" w:rsidR="00D2649E" w:rsidRDefault="00D2649E" w:rsidP="00D2649E">
      <w:pPr>
        <w:tabs>
          <w:tab w:val="left" w:leader="underscore" w:pos="9639"/>
        </w:tabs>
        <w:spacing w:after="0" w:line="240" w:lineRule="auto"/>
        <w:jc w:val="both"/>
        <w:rPr>
          <w:rFonts w:cs="Calibri"/>
        </w:rPr>
      </w:pPr>
    </w:p>
    <w:p w14:paraId="70BC56C4" w14:textId="77777777" w:rsidR="00D2649E" w:rsidRDefault="00D2649E" w:rsidP="00D2649E">
      <w:pPr>
        <w:tabs>
          <w:tab w:val="left" w:leader="underscore" w:pos="9639"/>
        </w:tabs>
        <w:spacing w:after="0" w:line="240" w:lineRule="auto"/>
        <w:jc w:val="both"/>
        <w:rPr>
          <w:rFonts w:cs="Calibri"/>
        </w:rPr>
      </w:pPr>
    </w:p>
    <w:p w14:paraId="78D97FEA" w14:textId="77777777" w:rsidR="00D2649E" w:rsidRDefault="00D2649E" w:rsidP="00D2649E">
      <w:pPr>
        <w:tabs>
          <w:tab w:val="left" w:leader="underscore" w:pos="9639"/>
        </w:tabs>
        <w:spacing w:after="0" w:line="240" w:lineRule="auto"/>
        <w:jc w:val="both"/>
        <w:rPr>
          <w:rFonts w:cs="Calibri"/>
        </w:rPr>
      </w:pPr>
    </w:p>
    <w:p w14:paraId="5137945E" w14:textId="25D01D2A" w:rsidR="00D2649E" w:rsidRDefault="00D41325"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207FB967" wp14:editId="00654296">
                <wp:simplePos x="0" y="0"/>
                <wp:positionH relativeFrom="column">
                  <wp:posOffset>-549910</wp:posOffset>
                </wp:positionH>
                <wp:positionV relativeFrom="paragraph">
                  <wp:posOffset>220345</wp:posOffset>
                </wp:positionV>
                <wp:extent cx="1943100" cy="952500"/>
                <wp:effectExtent l="0" t="0" r="0" b="0"/>
                <wp:wrapNone/>
                <wp:docPr id="3" name="Cuadro de texto 9">
                  <a:extLst xmlns:a="http://schemas.openxmlformats.org/drawingml/2006/main">
                    <a:ext uri="{FF2B5EF4-FFF2-40B4-BE49-F238E27FC236}">
                      <a16:creationId xmlns:a16="http://schemas.microsoft.com/office/drawing/2014/main" id="{46D8B2B8-6225-4A35-B74D-2AAF8FF96AF7}"/>
                    </a:ext>
                  </a:extLst>
                </wp:docPr>
                <wp:cNvGraphicFramePr/>
                <a:graphic xmlns:a="http://schemas.openxmlformats.org/drawingml/2006/main">
                  <a:graphicData uri="http://schemas.microsoft.com/office/word/2010/wordprocessingShape">
                    <wps:wsp>
                      <wps:cNvSpPr txBox="1"/>
                      <wps:spPr>
                        <a:xfrm>
                          <a:off x="0" y="0"/>
                          <a:ext cx="1943100"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Director General de 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 e 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  S</w:t>
                            </w:r>
                            <w:r w:rsidR="00E062CD">
                              <w:rPr>
                                <w:rFonts w:eastAsia="Times New Roman" w:hAnsi="Aptos"/>
                                <w:color w:val="000000"/>
                                <w:sz w:val="16"/>
                                <w:szCs w:val="16"/>
                                <w:lang w:val="en-US"/>
                              </w:rPr>
                              <w:t>OP</w:t>
                            </w:r>
                          </w:p>
                        </w:txbxContent>
                      </wps:txbx>
                      <wps:bodyPr wrap="square" rtlCol="0" anchor="ctr">
                        <a:noAutofit/>
                      </wps:bodyPr>
                    </wps:wsp>
                  </a:graphicData>
                </a:graphic>
                <wp14:sizeRelH relativeFrom="margin">
                  <wp14:pctWidth>0</wp14:pctWidth>
                </wp14:sizeRelH>
              </wp:anchor>
            </w:drawing>
          </mc:Choice>
          <mc:Fallback>
            <w:pict>
              <v:shapetype w14:anchorId="207FB967" id="_x0000_t202" coordsize="21600,21600" o:spt="202" path="m,l,21600r21600,l21600,xe">
                <v:stroke joinstyle="miter"/>
                <v:path gradientshapeok="t" o:connecttype="rect"/>
              </v:shapetype>
              <v:shape id="Cuadro de texto 9" o:spid="_x0000_s1026" type="#_x0000_t202" style="position:absolute;left:0;text-align:left;margin-left:-43.3pt;margin-top:17.35pt;width:153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" filled="f" stroked="f">
                <v:textbo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Director General de 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 xml:space="preserve">n e </w:t>
                      </w:r>
                      <w:proofErr w:type="spellStart"/>
                      <w:proofErr w:type="gramStart"/>
                      <w:r w:rsidRPr="00DB3F4E">
                        <w:rPr>
                          <w:rFonts w:eastAsia="Times New Roman" w:hAnsi="Aptos"/>
                          <w:color w:val="000000"/>
                          <w:sz w:val="16"/>
                          <w:szCs w:val="16"/>
                          <w:lang w:val="en-US"/>
                        </w:rPr>
                        <w:t>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S</w:t>
                      </w:r>
                      <w:r w:rsidR="00E062CD">
                        <w:rPr>
                          <w:rFonts w:eastAsia="Times New Roman" w:hAnsi="Aptos"/>
                          <w:color w:val="000000"/>
                          <w:sz w:val="16"/>
                          <w:szCs w:val="16"/>
                          <w:lang w:val="en-US"/>
                        </w:rPr>
                        <w:t>OP</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0BCFE7" wp14:editId="5EFE1530">
                <wp:simplePos x="0" y="0"/>
                <wp:positionH relativeFrom="column">
                  <wp:posOffset>1219200</wp:posOffset>
                </wp:positionH>
                <wp:positionV relativeFrom="paragraph">
                  <wp:posOffset>177800</wp:posOffset>
                </wp:positionV>
                <wp:extent cx="1920240" cy="1059180"/>
                <wp:effectExtent l="0" t="0" r="0" b="0"/>
                <wp:wrapNone/>
                <wp:docPr id="5" name="Cuadro de texto 7">
                  <a:extLst xmlns:a="http://schemas.openxmlformats.org/drawingml/2006/main">
                    <a:ext uri="{FF2B5EF4-FFF2-40B4-BE49-F238E27FC236}">
                      <a16:creationId xmlns:a16="http://schemas.microsoft.com/office/drawing/2014/main" id="{FCCF3263-DC75-4364-B44C-BADA4F832311}"/>
                    </a:ext>
                  </a:extLst>
                </wp:docPr>
                <wp:cNvGraphicFramePr/>
                <a:graphic xmlns:a="http://schemas.openxmlformats.org/drawingml/2006/main">
                  <a:graphicData uri="http://schemas.microsoft.com/office/word/2010/wordprocessingShape">
                    <wps:wsp>
                      <wps:cNvSpPr txBox="1"/>
                      <wps:spPr>
                        <a:xfrm>
                          <a:off x="0" y="0"/>
                          <a:ext cx="1920240" cy="1059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wps:txbx>
                      <wps:bodyPr wrap="square" rtlCol="0" anchor="ctr">
                        <a:noAutofit/>
                      </wps:bodyPr>
                    </wps:wsp>
                  </a:graphicData>
                </a:graphic>
              </wp:anchor>
            </w:drawing>
          </mc:Choice>
          <mc:Fallback>
            <w:pict>
              <v:shape w14:anchorId="460BCFE7" id="Cuadro de texto 7" o:spid="_x0000_s1027" type="#_x0000_t202" style="position:absolute;left:0;text-align:left;margin-left:96pt;margin-top:14pt;width:151.2pt;height:8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" filled="f" stroked="f">
                <v:textbo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0247CD" wp14:editId="3BFBAB66">
                <wp:simplePos x="0" y="0"/>
                <wp:positionH relativeFrom="column">
                  <wp:posOffset>3008630</wp:posOffset>
                </wp:positionH>
                <wp:positionV relativeFrom="paragraph">
                  <wp:posOffset>106045</wp:posOffset>
                </wp:positionV>
                <wp:extent cx="1760220" cy="1066800"/>
                <wp:effectExtent l="0" t="0" r="0" b="0"/>
                <wp:wrapNone/>
                <wp:docPr id="4" name="Cuadro de texto 8">
                  <a:extLst xmlns:a="http://schemas.openxmlformats.org/drawingml/2006/main">
                    <a:ext uri="{FF2B5EF4-FFF2-40B4-BE49-F238E27FC236}">
                      <a16:creationId xmlns:a16="http://schemas.microsoft.com/office/drawing/2014/main" id="{ED6A78E3-94B0-4D07-AC92-925220EF9A3A}"/>
                    </a:ext>
                  </a:extLst>
                </wp:docPr>
                <wp:cNvGraphicFramePr/>
                <a:graphic xmlns:a="http://schemas.openxmlformats.org/drawingml/2006/main">
                  <a:graphicData uri="http://schemas.microsoft.com/office/word/2010/wordprocessingShape">
                    <wps:wsp>
                      <wps:cNvSpPr txBox="1"/>
                      <wps:spPr>
                        <a:xfrm>
                          <a:off x="0" y="0"/>
                          <a:ext cx="1760220"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67EEC081"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w:t>
                            </w:r>
                            <w:r w:rsidR="009A1AA8">
                              <w:rPr>
                                <w:rFonts w:eastAsia="Times New Roman" w:hAnsi="Aptos"/>
                                <w:color w:val="000000"/>
                                <w:sz w:val="16"/>
                                <w:szCs w:val="16"/>
                                <w:lang w:val="en-US"/>
                              </w:rPr>
                              <w:t>ó</w:t>
                            </w:r>
                            <w:r>
                              <w:rPr>
                                <w:rFonts w:eastAsia="Times New Roman" w:hAnsi="Aptos"/>
                                <w:color w:val="000000"/>
                                <w:sz w:val="16"/>
                                <w:szCs w:val="16"/>
                                <w:lang w:val="en-US"/>
                              </w:rPr>
                              <w:t>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wps:txbx>
                      <wps:bodyPr wrap="square" rtlCol="0" anchor="ctr">
                        <a:noAutofit/>
                      </wps:bodyPr>
                    </wps:wsp>
                  </a:graphicData>
                </a:graphic>
                <wp14:sizeRelH relativeFrom="margin">
                  <wp14:pctWidth>0</wp14:pctWidth>
                </wp14:sizeRelH>
              </wp:anchor>
            </w:drawing>
          </mc:Choice>
          <mc:Fallback>
            <w:pict>
              <v:shape w14:anchorId="7D0247CD" id="Cuadro de texto 8" o:spid="_x0000_s1028" type="#_x0000_t202" style="position:absolute;left:0;text-align:left;margin-left:236.9pt;margin-top:8.35pt;width:138.6pt;height: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" filled="f" stroked="f">
                <v:textbo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67EEC081"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w:t>
                      </w:r>
                      <w:r w:rsidR="009A1AA8">
                        <w:rPr>
                          <w:rFonts w:eastAsia="Times New Roman" w:hAnsi="Aptos"/>
                          <w:color w:val="000000"/>
                          <w:sz w:val="16"/>
                          <w:szCs w:val="16"/>
                          <w:lang w:val="en-US"/>
                        </w:rPr>
                        <w:t>ó</w:t>
                      </w:r>
                      <w:r>
                        <w:rPr>
                          <w:rFonts w:eastAsia="Times New Roman" w:hAnsi="Aptos"/>
                          <w:color w:val="000000"/>
                          <w:sz w:val="16"/>
                          <w:szCs w:val="16"/>
                          <w:lang w:val="en-US"/>
                        </w:rPr>
                        <w:t>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v:textbox>
              </v:shape>
            </w:pict>
          </mc:Fallback>
        </mc:AlternateContent>
      </w:r>
    </w:p>
    <w:p w14:paraId="2A8DF768" w14:textId="58C8C3CB" w:rsidR="00D2649E" w:rsidRPr="00E74967" w:rsidRDefault="00D2649E"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62336" behindDoc="0" locked="0" layoutInCell="1" allowOverlap="1" wp14:anchorId="31B728CB" wp14:editId="2004E89B">
                <wp:simplePos x="0" y="0"/>
                <wp:positionH relativeFrom="column">
                  <wp:posOffset>4639310</wp:posOffset>
                </wp:positionH>
                <wp:positionV relativeFrom="paragraph">
                  <wp:posOffset>57150</wp:posOffset>
                </wp:positionV>
                <wp:extent cx="1783080" cy="800100"/>
                <wp:effectExtent l="0" t="0" r="0" b="0"/>
                <wp:wrapNone/>
                <wp:docPr id="6" name="Cuadro de texto 1">
                  <a:extLst xmlns:a="http://schemas.openxmlformats.org/drawingml/2006/main">
                    <a:ext uri="{FF2B5EF4-FFF2-40B4-BE49-F238E27FC236}">
                      <a16:creationId xmlns:a16="http://schemas.microsoft.com/office/drawing/2014/main" id="{7657904F-3665-4204-953C-4186512AF827}"/>
                    </a:ext>
                  </a:extLst>
                </wp:docPr>
                <wp:cNvGraphicFramePr/>
                <a:graphic xmlns:a="http://schemas.openxmlformats.org/drawingml/2006/main">
                  <a:graphicData uri="http://schemas.microsoft.com/office/word/2010/wordprocessingShape">
                    <wps:wsp>
                      <wps:cNvSpPr txBox="1"/>
                      <wps:spPr>
                        <a:xfrm>
                          <a:off x="0" y="0"/>
                          <a:ext cx="1783080" cy="800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r w:rsidRPr="00DB3F4E">
                              <w:rPr>
                                <w:rFonts w:eastAsia="Times New Roman" w:hAnsi="Aptos"/>
                                <w:color w:val="000000"/>
                                <w:sz w:val="16"/>
                                <w:szCs w:val="16"/>
                                <w:lang w:val="en-US"/>
                              </w:rPr>
                              <w:t>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wps:txbx>
                      <wps:bodyPr wrap="square" rtlCol="0" anchor="ctr">
                        <a:noAutofit/>
                      </wps:bodyPr>
                    </wps:wsp>
                  </a:graphicData>
                </a:graphic>
                <wp14:sizeRelH relativeFrom="margin">
                  <wp14:pctWidth>0</wp14:pctWidth>
                </wp14:sizeRelH>
              </wp:anchor>
            </w:drawing>
          </mc:Choice>
          <mc:Fallback>
            <w:pict>
              <v:shape w14:anchorId="31B728CB" id="Cuadro de texto 1" o:spid="_x0000_s1029" type="#_x0000_t202" style="position:absolute;left:0;text-align:left;margin-left:365.3pt;margin-top:4.5pt;width:140.4pt;height: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" filled="f" stroked="f">
                <v:textbo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roofErr w:type="spellStart"/>
                      <w:r w:rsidRPr="00DB3F4E">
                        <w:rPr>
                          <w:rFonts w:eastAsia="Times New Roman" w:hAnsi="Aptos"/>
                          <w:color w:val="000000"/>
                          <w:sz w:val="16"/>
                          <w:szCs w:val="16"/>
                          <w:lang w:val="en-US"/>
                        </w:rPr>
                        <w:t>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ndez</w:t>
                      </w:r>
                      <w:proofErr w:type="spellEnd"/>
                      <w:r w:rsidRPr="00DB3F4E">
                        <w:rPr>
                          <w:rFonts w:eastAsia="Times New Roman" w:hAnsi="Aptos"/>
                          <w:color w:val="000000"/>
                          <w:sz w:val="16"/>
                          <w:szCs w:val="16"/>
                          <w:lang w:val="en-US"/>
                        </w:rPr>
                        <w:t xml:space="preserve">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v:textbox>
              </v:shape>
            </w:pict>
          </mc:Fallback>
        </mc:AlternateContent>
      </w:r>
    </w:p>
    <w:sectPr w:rsidR="00D2649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816B" w14:textId="77777777" w:rsidR="0080593A" w:rsidRDefault="0080593A" w:rsidP="00E00323">
      <w:pPr>
        <w:spacing w:after="0" w:line="240" w:lineRule="auto"/>
      </w:pPr>
      <w:r>
        <w:separator/>
      </w:r>
    </w:p>
  </w:endnote>
  <w:endnote w:type="continuationSeparator" w:id="0">
    <w:p w14:paraId="1F0C63EB" w14:textId="77777777" w:rsidR="0080593A" w:rsidRDefault="0080593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D032A" w14:textId="77777777" w:rsidR="0080593A" w:rsidRDefault="0080593A" w:rsidP="00E00323">
      <w:pPr>
        <w:spacing w:after="0" w:line="240" w:lineRule="auto"/>
      </w:pPr>
      <w:r>
        <w:separator/>
      </w:r>
    </w:p>
  </w:footnote>
  <w:footnote w:type="continuationSeparator" w:id="0">
    <w:p w14:paraId="159BA76B" w14:textId="77777777" w:rsidR="0080593A" w:rsidRDefault="0080593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AE52" w14:textId="75B393CF" w:rsidR="00B57AF7" w:rsidRDefault="00B57AF7" w:rsidP="00B57AF7">
    <w:pPr>
      <w:pStyle w:val="Encabezado"/>
      <w:spacing w:after="0" w:line="240" w:lineRule="auto"/>
      <w:jc w:val="center"/>
    </w:pPr>
    <w:r>
      <w:t>INSTITUTO DE INFRAESTRUCTURA F</w:t>
    </w:r>
    <w:r w:rsidR="001929AA">
      <w:t>Í</w:t>
    </w:r>
    <w:r>
      <w:t>SICA EDUCATIVA DE GUANAJUATO</w:t>
    </w:r>
  </w:p>
  <w:p w14:paraId="45DE034C" w14:textId="71314875" w:rsidR="001929AA" w:rsidRPr="00B57AF7" w:rsidRDefault="00B57AF7" w:rsidP="001929AA">
    <w:pPr>
      <w:pStyle w:val="Encabezado"/>
      <w:spacing w:after="0" w:line="240" w:lineRule="auto"/>
      <w:jc w:val="center"/>
    </w:pPr>
    <w:r w:rsidRPr="00A4610E">
      <w:t>CORRESPONDI</w:t>
    </w:r>
    <w:r>
      <w:t>E</w:t>
    </w:r>
    <w:r w:rsidRPr="00A4610E">
      <w:t xml:space="preserve">NTES AL </w:t>
    </w:r>
    <w:r>
      <w:t>3</w:t>
    </w:r>
    <w:r w:rsidR="009A1AA8">
      <w:t>1</w:t>
    </w:r>
    <w:r>
      <w:t xml:space="preserve"> DE </w:t>
    </w:r>
    <w:r w:rsidR="001929AA">
      <w:t>MARZO</w:t>
    </w:r>
    <w:r>
      <w:t xml:space="preserve"> DE 202</w:t>
    </w:r>
    <w:r w:rsidR="001929A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0D24"/>
    <w:rsid w:val="000310EF"/>
    <w:rsid w:val="00040D4F"/>
    <w:rsid w:val="00041C6E"/>
    <w:rsid w:val="0007688D"/>
    <w:rsid w:val="00084EAE"/>
    <w:rsid w:val="00091CE6"/>
    <w:rsid w:val="000B3B39"/>
    <w:rsid w:val="000B7810"/>
    <w:rsid w:val="000C3365"/>
    <w:rsid w:val="00106EE9"/>
    <w:rsid w:val="0012405A"/>
    <w:rsid w:val="0012493A"/>
    <w:rsid w:val="00154BA3"/>
    <w:rsid w:val="00166E1F"/>
    <w:rsid w:val="001929AA"/>
    <w:rsid w:val="001973A2"/>
    <w:rsid w:val="001C34BC"/>
    <w:rsid w:val="001C710C"/>
    <w:rsid w:val="001C75F2"/>
    <w:rsid w:val="001C76BC"/>
    <w:rsid w:val="001D2063"/>
    <w:rsid w:val="001D43E9"/>
    <w:rsid w:val="00231FBE"/>
    <w:rsid w:val="00232175"/>
    <w:rsid w:val="0024740E"/>
    <w:rsid w:val="002722DD"/>
    <w:rsid w:val="00295B72"/>
    <w:rsid w:val="003405DF"/>
    <w:rsid w:val="003453CA"/>
    <w:rsid w:val="00396D53"/>
    <w:rsid w:val="003E6C64"/>
    <w:rsid w:val="0043078C"/>
    <w:rsid w:val="00435A87"/>
    <w:rsid w:val="0044679A"/>
    <w:rsid w:val="004A1077"/>
    <w:rsid w:val="004A58C8"/>
    <w:rsid w:val="004B4895"/>
    <w:rsid w:val="004F234D"/>
    <w:rsid w:val="004F6FAC"/>
    <w:rsid w:val="004F759E"/>
    <w:rsid w:val="005053EE"/>
    <w:rsid w:val="00516100"/>
    <w:rsid w:val="00516A8F"/>
    <w:rsid w:val="00522F00"/>
    <w:rsid w:val="00533228"/>
    <w:rsid w:val="00540261"/>
    <w:rsid w:val="0054701E"/>
    <w:rsid w:val="00552EA5"/>
    <w:rsid w:val="005B5531"/>
    <w:rsid w:val="005D3E43"/>
    <w:rsid w:val="005E231E"/>
    <w:rsid w:val="005F2900"/>
    <w:rsid w:val="005F51CC"/>
    <w:rsid w:val="00606C11"/>
    <w:rsid w:val="0064059E"/>
    <w:rsid w:val="00643374"/>
    <w:rsid w:val="00657009"/>
    <w:rsid w:val="00681C79"/>
    <w:rsid w:val="006B1ADF"/>
    <w:rsid w:val="006F0687"/>
    <w:rsid w:val="006F77A8"/>
    <w:rsid w:val="007610BC"/>
    <w:rsid w:val="007714AB"/>
    <w:rsid w:val="007D1E76"/>
    <w:rsid w:val="007D4484"/>
    <w:rsid w:val="007E38A2"/>
    <w:rsid w:val="007F699D"/>
    <w:rsid w:val="0080593A"/>
    <w:rsid w:val="00806269"/>
    <w:rsid w:val="00817048"/>
    <w:rsid w:val="00820B0A"/>
    <w:rsid w:val="00841FAD"/>
    <w:rsid w:val="008539F8"/>
    <w:rsid w:val="0086420E"/>
    <w:rsid w:val="0086459F"/>
    <w:rsid w:val="0086689C"/>
    <w:rsid w:val="008C3BB8"/>
    <w:rsid w:val="008D3F43"/>
    <w:rsid w:val="008E076C"/>
    <w:rsid w:val="009157C3"/>
    <w:rsid w:val="0092765C"/>
    <w:rsid w:val="009562D7"/>
    <w:rsid w:val="00967DDA"/>
    <w:rsid w:val="009736CB"/>
    <w:rsid w:val="009A1AA8"/>
    <w:rsid w:val="009C41C6"/>
    <w:rsid w:val="00A137D6"/>
    <w:rsid w:val="00A4610E"/>
    <w:rsid w:val="00A6346D"/>
    <w:rsid w:val="00A730E0"/>
    <w:rsid w:val="00AA2768"/>
    <w:rsid w:val="00AA41E5"/>
    <w:rsid w:val="00AB722B"/>
    <w:rsid w:val="00AE1F6A"/>
    <w:rsid w:val="00AF4375"/>
    <w:rsid w:val="00B073DE"/>
    <w:rsid w:val="00B30469"/>
    <w:rsid w:val="00B57AF7"/>
    <w:rsid w:val="00B6368B"/>
    <w:rsid w:val="00BA53FE"/>
    <w:rsid w:val="00BB415A"/>
    <w:rsid w:val="00BE02EB"/>
    <w:rsid w:val="00C4250B"/>
    <w:rsid w:val="00C4625D"/>
    <w:rsid w:val="00C54C12"/>
    <w:rsid w:val="00C93C67"/>
    <w:rsid w:val="00C97E1E"/>
    <w:rsid w:val="00CB41C4"/>
    <w:rsid w:val="00CF1316"/>
    <w:rsid w:val="00D13C44"/>
    <w:rsid w:val="00D2649E"/>
    <w:rsid w:val="00D32331"/>
    <w:rsid w:val="00D40FC2"/>
    <w:rsid w:val="00D41325"/>
    <w:rsid w:val="00D5018E"/>
    <w:rsid w:val="00D546B2"/>
    <w:rsid w:val="00D54D71"/>
    <w:rsid w:val="00D975B1"/>
    <w:rsid w:val="00DB3F4E"/>
    <w:rsid w:val="00DD018C"/>
    <w:rsid w:val="00DE7BE6"/>
    <w:rsid w:val="00E00323"/>
    <w:rsid w:val="00E062CD"/>
    <w:rsid w:val="00E11758"/>
    <w:rsid w:val="00E74967"/>
    <w:rsid w:val="00E7559F"/>
    <w:rsid w:val="00E85520"/>
    <w:rsid w:val="00E9132F"/>
    <w:rsid w:val="00EA37F5"/>
    <w:rsid w:val="00EA7915"/>
    <w:rsid w:val="00ED7AA0"/>
    <w:rsid w:val="00F067C8"/>
    <w:rsid w:val="00F14F8B"/>
    <w:rsid w:val="00F30FC5"/>
    <w:rsid w:val="00F43AC5"/>
    <w:rsid w:val="00F46719"/>
    <w:rsid w:val="00F54F6F"/>
    <w:rsid w:val="00F57671"/>
    <w:rsid w:val="00F6102D"/>
    <w:rsid w:val="00F65A92"/>
    <w:rsid w:val="00F6759B"/>
    <w:rsid w:val="00F8129A"/>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4396</Words>
  <Characters>24179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28518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Edilberto Hernandez Hernandez</cp:lastModifiedBy>
  <cp:revision>3</cp:revision>
  <cp:lastPrinted>2025-04-25T21:30:00Z</cp:lastPrinted>
  <dcterms:created xsi:type="dcterms:W3CDTF">2025-04-23T18:08:00Z</dcterms:created>
  <dcterms:modified xsi:type="dcterms:W3CDTF">2025-04-25T21:32:00Z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